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FA" w:rsidRPr="007037CB" w:rsidRDefault="000144FA" w:rsidP="000144F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0144FA" w:rsidRPr="007037CB" w:rsidRDefault="000144FA" w:rsidP="000144FA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607C21B1" wp14:editId="152574E5">
            <wp:extent cx="790575" cy="914400"/>
            <wp:effectExtent l="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4FA" w:rsidRPr="007037CB" w:rsidRDefault="000144FA" w:rsidP="000144FA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0144FA" w:rsidRDefault="000144FA" w:rsidP="000144F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0144FA" w:rsidRDefault="000144FA" w:rsidP="000144F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0144FA" w:rsidRPr="007037CB" w:rsidRDefault="000144FA" w:rsidP="000144FA">
      <w:pPr>
        <w:ind w:right="-990"/>
        <w:rPr>
          <w:rFonts w:ascii="Garamond" w:hAnsi="Garamond"/>
          <w:b/>
        </w:rPr>
      </w:pPr>
    </w:p>
    <w:p w:rsidR="000144FA" w:rsidRPr="007037CB" w:rsidRDefault="000144FA" w:rsidP="000144FA">
      <w:pPr>
        <w:ind w:right="-990"/>
        <w:rPr>
          <w:rFonts w:ascii="Garamond" w:hAnsi="Garamond"/>
          <w:b/>
        </w:rPr>
      </w:pPr>
    </w:p>
    <w:p w:rsidR="000144FA" w:rsidRPr="007037CB" w:rsidRDefault="000144FA" w:rsidP="000144FA">
      <w:pPr>
        <w:ind w:right="-990"/>
        <w:rPr>
          <w:rFonts w:ascii="Garamond" w:hAnsi="Garamond"/>
          <w:b/>
        </w:rPr>
      </w:pPr>
    </w:p>
    <w:p w:rsidR="000144FA" w:rsidRPr="007037CB" w:rsidRDefault="000144FA" w:rsidP="000144FA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0144FA" w:rsidRPr="007037CB" w:rsidRDefault="000144FA" w:rsidP="000144FA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0144FA" w:rsidRDefault="000144FA" w:rsidP="000144FA">
      <w:pPr>
        <w:jc w:val="center"/>
        <w:rPr>
          <w:rFonts w:eastAsiaTheme="minorHAnsi"/>
          <w:sz w:val="56"/>
          <w:szCs w:val="56"/>
        </w:rPr>
      </w:pPr>
      <w:r w:rsidRPr="0018245E">
        <w:rPr>
          <w:rFonts w:eastAsiaTheme="minorHAnsi"/>
          <w:sz w:val="56"/>
          <w:szCs w:val="56"/>
        </w:rPr>
        <w:t>Seminar</w:t>
      </w:r>
    </w:p>
    <w:p w:rsidR="000144FA" w:rsidRPr="00A3579E" w:rsidRDefault="000144FA" w:rsidP="000144FA">
      <w:pPr>
        <w:jc w:val="center"/>
        <w:rPr>
          <w:rFonts w:eastAsiaTheme="minorHAnsi"/>
          <w:sz w:val="56"/>
          <w:szCs w:val="56"/>
        </w:rPr>
      </w:pPr>
    </w:p>
    <w:p w:rsidR="000144FA" w:rsidRPr="007037CB" w:rsidRDefault="000144FA" w:rsidP="000144FA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April 10,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0144FA" w:rsidRPr="007037CB" w:rsidRDefault="000144FA" w:rsidP="000144FA">
      <w:pPr>
        <w:rPr>
          <w:sz w:val="28"/>
          <w:szCs w:val="28"/>
        </w:rPr>
      </w:pPr>
    </w:p>
    <w:p w:rsidR="000144FA" w:rsidRDefault="000144FA" w:rsidP="000144FA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0144FA" w:rsidRPr="00A52D0B" w:rsidRDefault="000144FA" w:rsidP="000144FA">
      <w:pPr>
        <w:jc w:val="center"/>
        <w:rPr>
          <w:sz w:val="28"/>
          <w:szCs w:val="28"/>
        </w:rPr>
      </w:pPr>
    </w:p>
    <w:p w:rsidR="000144FA" w:rsidRPr="00D40DAD" w:rsidRDefault="000144FA" w:rsidP="000144FA">
      <w:pPr>
        <w:jc w:val="center"/>
        <w:rPr>
          <w:sz w:val="48"/>
          <w:szCs w:val="48"/>
        </w:rPr>
      </w:pPr>
      <w:r w:rsidRPr="00D40DAD">
        <w:rPr>
          <w:sz w:val="48"/>
          <w:szCs w:val="48"/>
        </w:rPr>
        <w:t>TSSRK Rao</w:t>
      </w:r>
    </w:p>
    <w:p w:rsidR="000144FA" w:rsidRPr="00D40DAD" w:rsidRDefault="000144FA" w:rsidP="000144FA">
      <w:pPr>
        <w:jc w:val="center"/>
        <w:rPr>
          <w:sz w:val="48"/>
          <w:szCs w:val="48"/>
        </w:rPr>
      </w:pPr>
      <w:r w:rsidRPr="00D40DAD">
        <w:rPr>
          <w:sz w:val="48"/>
          <w:szCs w:val="48"/>
        </w:rPr>
        <w:t>ISI Bangalore</w:t>
      </w:r>
    </w:p>
    <w:p w:rsidR="000144FA" w:rsidRDefault="000144FA" w:rsidP="000144FA">
      <w:pPr>
        <w:rPr>
          <w:sz w:val="22"/>
          <w:szCs w:val="22"/>
        </w:rPr>
      </w:pPr>
    </w:p>
    <w:p w:rsidR="000144FA" w:rsidRDefault="000144FA" w:rsidP="000144FA">
      <w:pPr>
        <w:jc w:val="center"/>
        <w:rPr>
          <w:sz w:val="36"/>
          <w:szCs w:val="36"/>
        </w:rPr>
      </w:pPr>
    </w:p>
    <w:p w:rsidR="000144FA" w:rsidRPr="00A3579E" w:rsidRDefault="000144FA" w:rsidP="000144FA">
      <w:pPr>
        <w:jc w:val="center"/>
        <w:rPr>
          <w:sz w:val="36"/>
          <w:szCs w:val="36"/>
        </w:rPr>
      </w:pPr>
      <w:r w:rsidRPr="00A3579E">
        <w:rPr>
          <w:sz w:val="36"/>
          <w:szCs w:val="36"/>
        </w:rPr>
        <w:t>Bishop-Phelps-</w:t>
      </w:r>
      <w:proofErr w:type="spellStart"/>
      <w:r w:rsidRPr="00A3579E">
        <w:rPr>
          <w:sz w:val="36"/>
          <w:szCs w:val="36"/>
        </w:rPr>
        <w:t>Bollobas</w:t>
      </w:r>
      <w:proofErr w:type="spellEnd"/>
      <w:r w:rsidRPr="00A3579E">
        <w:rPr>
          <w:sz w:val="36"/>
          <w:szCs w:val="36"/>
        </w:rPr>
        <w:t xml:space="preserve"> theorem for operators on separable </w:t>
      </w:r>
      <w:proofErr w:type="spellStart"/>
      <w:r w:rsidRPr="00A3579E">
        <w:rPr>
          <w:sz w:val="36"/>
          <w:szCs w:val="36"/>
        </w:rPr>
        <w:t>Lindenstrauss</w:t>
      </w:r>
      <w:proofErr w:type="spellEnd"/>
      <w:r w:rsidRPr="00A3579E">
        <w:rPr>
          <w:sz w:val="36"/>
          <w:szCs w:val="36"/>
        </w:rPr>
        <w:t xml:space="preserve"> spaces</w:t>
      </w:r>
    </w:p>
    <w:p w:rsidR="000144FA" w:rsidRPr="00A3579E" w:rsidRDefault="000144FA" w:rsidP="000144FA">
      <w:pPr>
        <w:jc w:val="center"/>
        <w:rPr>
          <w:sz w:val="36"/>
          <w:szCs w:val="36"/>
        </w:rPr>
      </w:pPr>
    </w:p>
    <w:p w:rsidR="000144FA" w:rsidRPr="00F05009" w:rsidRDefault="000144FA" w:rsidP="000144FA">
      <w:pPr>
        <w:jc w:val="center"/>
        <w:rPr>
          <w:sz w:val="18"/>
          <w:szCs w:val="18"/>
        </w:rPr>
      </w:pPr>
    </w:p>
    <w:p w:rsidR="000144FA" w:rsidRDefault="000144FA" w:rsidP="000144FA">
      <w:pPr>
        <w:jc w:val="center"/>
        <w:rPr>
          <w:sz w:val="20"/>
          <w:szCs w:val="20"/>
        </w:rPr>
      </w:pPr>
      <w:r w:rsidRPr="00F05009">
        <w:rPr>
          <w:sz w:val="20"/>
          <w:szCs w:val="20"/>
        </w:rPr>
        <w:t>Abstract</w:t>
      </w:r>
    </w:p>
    <w:p w:rsidR="000144FA" w:rsidRDefault="000144FA" w:rsidP="000144FA">
      <w:pPr>
        <w:jc w:val="center"/>
        <w:rPr>
          <w:sz w:val="20"/>
          <w:szCs w:val="20"/>
        </w:rPr>
      </w:pPr>
    </w:p>
    <w:p w:rsidR="000144FA" w:rsidRPr="003E3EB8" w:rsidRDefault="000144FA" w:rsidP="000144FA">
      <w:pPr>
        <w:jc w:val="both"/>
        <w:rPr>
          <w:sz w:val="22"/>
          <w:szCs w:val="22"/>
        </w:rPr>
      </w:pPr>
      <w:r w:rsidRPr="003E3EB8">
        <w:rPr>
          <w:sz w:val="22"/>
          <w:szCs w:val="22"/>
        </w:rPr>
        <w:t xml:space="preserve">In this talk, based on my </w:t>
      </w:r>
      <w:r>
        <w:rPr>
          <w:sz w:val="22"/>
          <w:szCs w:val="22"/>
        </w:rPr>
        <w:t xml:space="preserve">last joint paper (JMAA, January 2019) with  </w:t>
      </w:r>
      <w:r w:rsidRPr="003E3EB8">
        <w:rPr>
          <w:sz w:val="22"/>
          <w:szCs w:val="22"/>
        </w:rPr>
        <w:t xml:space="preserve"> late Professor A. K. Roy, I will first</w:t>
      </w:r>
      <w:r>
        <w:rPr>
          <w:sz w:val="22"/>
          <w:szCs w:val="22"/>
        </w:rPr>
        <w:t xml:space="preserve"> exhibit the density of the set </w:t>
      </w:r>
      <w:r w:rsidRPr="003E3EB8">
        <w:rPr>
          <w:sz w:val="22"/>
          <w:szCs w:val="22"/>
        </w:rPr>
        <w:t>of weakly compact norm attaining o</w:t>
      </w:r>
      <w:r>
        <w:rPr>
          <w:sz w:val="22"/>
          <w:szCs w:val="22"/>
        </w:rPr>
        <w:t xml:space="preserve">perators in the space of weakly compact operators </w:t>
      </w:r>
      <w:r w:rsidRPr="003E3EB8">
        <w:rPr>
          <w:sz w:val="22"/>
          <w:szCs w:val="22"/>
        </w:rPr>
        <w:t>and when the range space is uniformly convex demonstrate the validity</w:t>
      </w:r>
    </w:p>
    <w:p w:rsidR="000144FA" w:rsidRPr="003E3EB8" w:rsidRDefault="000144FA" w:rsidP="000144FA">
      <w:pPr>
        <w:jc w:val="both"/>
        <w:rPr>
          <w:sz w:val="22"/>
          <w:szCs w:val="22"/>
        </w:rPr>
      </w:pPr>
      <w:proofErr w:type="gramStart"/>
      <w:r w:rsidRPr="003E3EB8">
        <w:rPr>
          <w:sz w:val="22"/>
          <w:szCs w:val="22"/>
        </w:rPr>
        <w:t>of</w:t>
      </w:r>
      <w:proofErr w:type="gramEnd"/>
      <w:r w:rsidRPr="003E3EB8">
        <w:rPr>
          <w:sz w:val="22"/>
          <w:szCs w:val="22"/>
        </w:rPr>
        <w:t xml:space="preserve"> the Bishop-Phelps-</w:t>
      </w:r>
      <w:proofErr w:type="spellStart"/>
      <w:r w:rsidRPr="003E3EB8">
        <w:rPr>
          <w:sz w:val="22"/>
          <w:szCs w:val="22"/>
        </w:rPr>
        <w:t>Bollobas</w:t>
      </w:r>
      <w:proofErr w:type="spellEnd"/>
      <w:r w:rsidRPr="003E3EB8">
        <w:rPr>
          <w:sz w:val="22"/>
          <w:szCs w:val="22"/>
        </w:rPr>
        <w:t xml:space="preserve"> property. </w:t>
      </w:r>
    </w:p>
    <w:p w:rsidR="000144FA" w:rsidRPr="003E3EB8" w:rsidRDefault="000144FA" w:rsidP="000144FA">
      <w:pPr>
        <w:jc w:val="both"/>
        <w:rPr>
          <w:sz w:val="22"/>
          <w:szCs w:val="22"/>
        </w:rPr>
      </w:pPr>
    </w:p>
    <w:p w:rsidR="000144FA" w:rsidRPr="003E3EB8" w:rsidRDefault="000144FA" w:rsidP="000144FA">
      <w:pPr>
        <w:rPr>
          <w:sz w:val="22"/>
          <w:szCs w:val="22"/>
        </w:rPr>
      </w:pPr>
    </w:p>
    <w:p w:rsidR="000144FA" w:rsidRDefault="000144FA" w:rsidP="000144FA">
      <w:pPr>
        <w:rPr>
          <w:sz w:val="22"/>
          <w:szCs w:val="22"/>
        </w:rPr>
      </w:pPr>
    </w:p>
    <w:p w:rsidR="000144FA" w:rsidRDefault="000144FA" w:rsidP="000144FA">
      <w:pPr>
        <w:rPr>
          <w:sz w:val="22"/>
          <w:szCs w:val="22"/>
        </w:rPr>
      </w:pPr>
    </w:p>
    <w:p w:rsidR="000144FA" w:rsidRDefault="000144FA" w:rsidP="000144FA">
      <w:pPr>
        <w:rPr>
          <w:sz w:val="22"/>
          <w:szCs w:val="22"/>
        </w:rPr>
      </w:pPr>
    </w:p>
    <w:p w:rsidR="000144FA" w:rsidRDefault="000144FA" w:rsidP="000144FA">
      <w:pPr>
        <w:rPr>
          <w:sz w:val="22"/>
          <w:szCs w:val="22"/>
        </w:rPr>
      </w:pPr>
    </w:p>
    <w:p w:rsidR="00E92BC5" w:rsidRPr="002E21A7" w:rsidRDefault="000144FA" w:rsidP="000144FA">
      <w:pPr>
        <w:jc w:val="center"/>
        <w:rPr>
          <w:sz w:val="28"/>
          <w:szCs w:val="28"/>
        </w:rPr>
      </w:pPr>
      <w:r w:rsidRPr="002E21A7">
        <w:rPr>
          <w:sz w:val="28"/>
          <w:szCs w:val="28"/>
        </w:rPr>
        <w:t>ALL</w:t>
      </w:r>
      <w:bookmarkStart w:id="0" w:name="_GoBack"/>
      <w:r w:rsidRPr="002E21A7">
        <w:rPr>
          <w:sz w:val="28"/>
          <w:szCs w:val="28"/>
        </w:rPr>
        <w:t xml:space="preserve"> </w:t>
      </w:r>
      <w:bookmarkEnd w:id="0"/>
      <w:r w:rsidRPr="002E21A7">
        <w:rPr>
          <w:sz w:val="28"/>
          <w:szCs w:val="28"/>
        </w:rPr>
        <w:t>ARE CORDIALLY INVITED</w:t>
      </w:r>
    </w:p>
    <w:sectPr w:rsidR="00E92BC5" w:rsidRPr="002E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FA"/>
    <w:rsid w:val="000144FA"/>
    <w:rsid w:val="002E21A7"/>
    <w:rsid w:val="00E92BC5"/>
    <w:rsid w:val="00F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228B4-7326-4FC2-9340-C5F04B07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2019-04-02T06:00:00Z</dcterms:created>
  <dcterms:modified xsi:type="dcterms:W3CDTF">2019-04-02T06:10:00Z</dcterms:modified>
</cp:coreProperties>
</file>