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07" w:rsidRPr="007037CB" w:rsidRDefault="00C63E07" w:rsidP="00C63E0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C63E07" w:rsidRPr="007037CB" w:rsidRDefault="00C63E07" w:rsidP="00C63E07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6C211264" wp14:editId="4BCB8555">
            <wp:extent cx="790575" cy="914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E07" w:rsidRPr="007037CB" w:rsidRDefault="00C63E07" w:rsidP="00C63E07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C63E07" w:rsidRDefault="00C63E07" w:rsidP="00C63E07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C63E07" w:rsidRDefault="00C63E07" w:rsidP="00C63E07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C63E07" w:rsidRPr="007037CB" w:rsidRDefault="00C63E07" w:rsidP="00C63E07">
      <w:pPr>
        <w:ind w:right="-990"/>
        <w:rPr>
          <w:rFonts w:ascii="Garamond" w:hAnsi="Garamond"/>
          <w:b/>
        </w:rPr>
      </w:pPr>
    </w:p>
    <w:p w:rsidR="00C63E07" w:rsidRPr="007037CB" w:rsidRDefault="00C63E07" w:rsidP="00C63E07">
      <w:pPr>
        <w:ind w:right="-990"/>
        <w:rPr>
          <w:rFonts w:ascii="Garamond" w:hAnsi="Garamond"/>
          <w:b/>
        </w:rPr>
      </w:pPr>
    </w:p>
    <w:p w:rsidR="00C63E07" w:rsidRPr="007037CB" w:rsidRDefault="00C63E07" w:rsidP="00C63E07">
      <w:pPr>
        <w:ind w:right="-990"/>
        <w:rPr>
          <w:rFonts w:ascii="Garamond" w:hAnsi="Garamond"/>
          <w:b/>
        </w:rPr>
      </w:pPr>
    </w:p>
    <w:p w:rsidR="00C63E07" w:rsidRPr="007037CB" w:rsidRDefault="00C63E07" w:rsidP="00C63E07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C63E07" w:rsidRPr="007037CB" w:rsidRDefault="00C63E07" w:rsidP="00C63E07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C63E07" w:rsidRDefault="00C63E07" w:rsidP="00C63E07">
      <w:pPr>
        <w:jc w:val="center"/>
        <w:rPr>
          <w:rFonts w:eastAsiaTheme="minorHAnsi"/>
          <w:sz w:val="56"/>
          <w:szCs w:val="56"/>
        </w:rPr>
      </w:pPr>
      <w:r w:rsidRPr="0018245E">
        <w:rPr>
          <w:rFonts w:eastAsiaTheme="minorHAnsi"/>
          <w:sz w:val="56"/>
          <w:szCs w:val="56"/>
        </w:rPr>
        <w:t>Seminar</w:t>
      </w:r>
    </w:p>
    <w:p w:rsidR="00C63E07" w:rsidRPr="00A3579E" w:rsidRDefault="00C63E07" w:rsidP="00C63E07">
      <w:pPr>
        <w:jc w:val="center"/>
        <w:rPr>
          <w:rFonts w:eastAsiaTheme="minorHAnsi"/>
          <w:sz w:val="56"/>
          <w:szCs w:val="56"/>
        </w:rPr>
      </w:pPr>
    </w:p>
    <w:p w:rsidR="00C63E07" w:rsidRPr="007037CB" w:rsidRDefault="00C63E07" w:rsidP="00C63E07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April 26,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02:30</w:t>
      </w:r>
      <w:r w:rsidRPr="007037CB">
        <w:rPr>
          <w:sz w:val="36"/>
          <w:szCs w:val="36"/>
        </w:rPr>
        <w:t xml:space="preserve"> P.M.</w:t>
      </w:r>
    </w:p>
    <w:p w:rsidR="00C63E07" w:rsidRPr="007037CB" w:rsidRDefault="00C63E07" w:rsidP="00C63E07">
      <w:pPr>
        <w:rPr>
          <w:sz w:val="28"/>
          <w:szCs w:val="28"/>
        </w:rPr>
      </w:pPr>
    </w:p>
    <w:p w:rsidR="00C63E07" w:rsidRDefault="00C63E07" w:rsidP="00C63E07">
      <w:pPr>
        <w:jc w:val="center"/>
        <w:rPr>
          <w:sz w:val="28"/>
          <w:szCs w:val="28"/>
        </w:rPr>
      </w:pPr>
      <w:r>
        <w:rPr>
          <w:sz w:val="28"/>
          <w:szCs w:val="28"/>
        </w:rPr>
        <w:t>Venue: L-1, Stat-Math Unit (</w:t>
      </w:r>
      <w:proofErr w:type="gramStart"/>
      <w:r>
        <w:rPr>
          <w:sz w:val="28"/>
          <w:szCs w:val="28"/>
        </w:rPr>
        <w:t>3</w:t>
      </w:r>
      <w:r w:rsidRPr="00F33DC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Pr="006A17AB">
        <w:rPr>
          <w:sz w:val="28"/>
          <w:szCs w:val="28"/>
        </w:rPr>
        <w:t xml:space="preserve"> Floor</w:t>
      </w:r>
      <w:proofErr w:type="gramEnd"/>
      <w:r w:rsidRPr="006A17AB">
        <w:rPr>
          <w:sz w:val="28"/>
          <w:szCs w:val="28"/>
        </w:rPr>
        <w:t xml:space="preserve">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C63E07" w:rsidRPr="00A52D0B" w:rsidRDefault="00C63E07" w:rsidP="00C63E07">
      <w:pPr>
        <w:jc w:val="center"/>
        <w:rPr>
          <w:sz w:val="28"/>
          <w:szCs w:val="28"/>
        </w:rPr>
      </w:pPr>
    </w:p>
    <w:p w:rsidR="00C63E07" w:rsidRPr="003D322B" w:rsidRDefault="00C63E07" w:rsidP="00C63E07">
      <w:pPr>
        <w:pStyle w:val="NoSpacing"/>
        <w:jc w:val="center"/>
        <w:rPr>
          <w:sz w:val="52"/>
          <w:szCs w:val="52"/>
        </w:rPr>
      </w:pPr>
      <w:proofErr w:type="spellStart"/>
      <w:r w:rsidRPr="003D322B">
        <w:rPr>
          <w:sz w:val="52"/>
          <w:szCs w:val="52"/>
        </w:rPr>
        <w:t>Suvrajit</w:t>
      </w:r>
      <w:proofErr w:type="spellEnd"/>
      <w:r w:rsidRPr="003D322B">
        <w:rPr>
          <w:sz w:val="52"/>
          <w:szCs w:val="52"/>
        </w:rPr>
        <w:t xml:space="preserve"> </w:t>
      </w:r>
      <w:proofErr w:type="spellStart"/>
      <w:r w:rsidRPr="003D322B">
        <w:rPr>
          <w:sz w:val="52"/>
          <w:szCs w:val="52"/>
        </w:rPr>
        <w:t>Bhattacharjee</w:t>
      </w:r>
      <w:proofErr w:type="spellEnd"/>
    </w:p>
    <w:p w:rsidR="00C63E07" w:rsidRPr="003D322B" w:rsidRDefault="00C63E07" w:rsidP="00C63E07">
      <w:pPr>
        <w:pStyle w:val="NoSpacing"/>
        <w:jc w:val="center"/>
        <w:rPr>
          <w:sz w:val="52"/>
          <w:szCs w:val="52"/>
        </w:rPr>
      </w:pPr>
      <w:r w:rsidRPr="003D322B">
        <w:rPr>
          <w:sz w:val="52"/>
          <w:szCs w:val="52"/>
        </w:rPr>
        <w:t>ISI Kolkata</w:t>
      </w:r>
    </w:p>
    <w:p w:rsidR="00C63E07" w:rsidRDefault="00C63E07" w:rsidP="00C63E07">
      <w:pPr>
        <w:jc w:val="center"/>
        <w:rPr>
          <w:sz w:val="22"/>
          <w:szCs w:val="22"/>
        </w:rPr>
      </w:pPr>
    </w:p>
    <w:p w:rsidR="00C63E07" w:rsidRDefault="00C63E07" w:rsidP="00C63E07">
      <w:pPr>
        <w:jc w:val="center"/>
        <w:rPr>
          <w:sz w:val="22"/>
          <w:szCs w:val="22"/>
        </w:rPr>
      </w:pPr>
    </w:p>
    <w:p w:rsidR="00C63E07" w:rsidRDefault="00C63E07" w:rsidP="00C63E07">
      <w:pPr>
        <w:pStyle w:val="NoSpacing"/>
        <w:jc w:val="center"/>
        <w:rPr>
          <w:sz w:val="36"/>
          <w:szCs w:val="36"/>
        </w:rPr>
      </w:pPr>
      <w:proofErr w:type="spellStart"/>
      <w:r w:rsidRPr="003D322B">
        <w:rPr>
          <w:sz w:val="36"/>
          <w:szCs w:val="36"/>
        </w:rPr>
        <w:t>Hopf</w:t>
      </w:r>
      <w:proofErr w:type="spellEnd"/>
      <w:r w:rsidRPr="003D322B">
        <w:rPr>
          <w:sz w:val="36"/>
          <w:szCs w:val="36"/>
        </w:rPr>
        <w:t xml:space="preserve"> </w:t>
      </w:r>
      <w:proofErr w:type="spellStart"/>
      <w:r w:rsidRPr="003D322B">
        <w:rPr>
          <w:sz w:val="36"/>
          <w:szCs w:val="36"/>
        </w:rPr>
        <w:t>algebroids</w:t>
      </w:r>
      <w:proofErr w:type="spellEnd"/>
    </w:p>
    <w:p w:rsidR="00C63E07" w:rsidRPr="00FC5187" w:rsidRDefault="00C63E07" w:rsidP="00C63E07">
      <w:pPr>
        <w:pStyle w:val="NoSpacing"/>
        <w:rPr>
          <w:sz w:val="36"/>
          <w:szCs w:val="36"/>
        </w:rPr>
      </w:pPr>
    </w:p>
    <w:p w:rsidR="00C63E07" w:rsidRDefault="00C63E07" w:rsidP="00C63E07">
      <w:pPr>
        <w:jc w:val="center"/>
        <w:rPr>
          <w:sz w:val="20"/>
          <w:szCs w:val="20"/>
        </w:rPr>
      </w:pPr>
      <w:r w:rsidRPr="00F05009">
        <w:rPr>
          <w:sz w:val="20"/>
          <w:szCs w:val="20"/>
        </w:rPr>
        <w:t>Abstract</w:t>
      </w:r>
    </w:p>
    <w:p w:rsidR="00C63E07" w:rsidRDefault="00C63E07" w:rsidP="00C63E07">
      <w:pPr>
        <w:jc w:val="center"/>
        <w:rPr>
          <w:sz w:val="20"/>
          <w:szCs w:val="20"/>
        </w:rPr>
      </w:pPr>
    </w:p>
    <w:p w:rsidR="00C63E07" w:rsidRDefault="00C63E07" w:rsidP="00C63E07">
      <w:pPr>
        <w:pStyle w:val="NoSpacing"/>
        <w:jc w:val="both"/>
      </w:pPr>
      <w:r>
        <w:t xml:space="preserve">Symmetries in noncommutative geometry are </w:t>
      </w:r>
      <w:proofErr w:type="gramStart"/>
      <w:r>
        <w:t>encoded  by</w:t>
      </w:r>
      <w:proofErr w:type="gramEnd"/>
      <w:r>
        <w:t xml:space="preserve"> the action or coaction of some </w:t>
      </w:r>
      <w:proofErr w:type="spellStart"/>
      <w:r>
        <w:t>Hopf</w:t>
      </w:r>
      <w:proofErr w:type="spellEnd"/>
      <w:r>
        <w:t xml:space="preserve"> algebra on  some algebra, which plays the role of a noncommutative  space. </w:t>
      </w:r>
      <w:proofErr w:type="spellStart"/>
      <w:r>
        <w:t>Hopf</w:t>
      </w:r>
      <w:proofErr w:type="spellEnd"/>
      <w:r>
        <w:t xml:space="preserve"> </w:t>
      </w:r>
      <w:proofErr w:type="spellStart"/>
      <w:r>
        <w:t>algebroids</w:t>
      </w:r>
      <w:proofErr w:type="spellEnd"/>
      <w:r>
        <w:t xml:space="preserve"> are the </w:t>
      </w:r>
      <w:proofErr w:type="gramStart"/>
      <w:r>
        <w:t>noncommutative  generalization</w:t>
      </w:r>
      <w:proofErr w:type="gramEnd"/>
      <w:r>
        <w:t xml:space="preserve"> of </w:t>
      </w:r>
      <w:proofErr w:type="spellStart"/>
      <w:r>
        <w:t>groupoids</w:t>
      </w:r>
      <w:proofErr w:type="spellEnd"/>
      <w:r>
        <w:t xml:space="preserve"> and as such provide a  concept of generalized symmetries in noncommutative  geometry: they generalize </w:t>
      </w:r>
      <w:proofErr w:type="spellStart"/>
      <w:r>
        <w:t>Hopf</w:t>
      </w:r>
      <w:proofErr w:type="spellEnd"/>
      <w:r>
        <w:t xml:space="preserve"> algebras to noncommutative </w:t>
      </w:r>
    </w:p>
    <w:p w:rsidR="00C63E07" w:rsidRDefault="00C63E07" w:rsidP="00C63E07">
      <w:pPr>
        <w:pStyle w:val="NoSpacing"/>
        <w:jc w:val="both"/>
      </w:pPr>
      <w:proofErr w:type="gramStart"/>
      <w:r>
        <w:t>base</w:t>
      </w:r>
      <w:proofErr w:type="gramEnd"/>
      <w:r>
        <w:t xml:space="preserve"> algebras. In this talk, we will focus only on the </w:t>
      </w:r>
      <w:proofErr w:type="gramStart"/>
      <w:r>
        <w:t>technical  definition</w:t>
      </w:r>
      <w:proofErr w:type="gramEnd"/>
      <w:r>
        <w:t xml:space="preserve"> of a </w:t>
      </w:r>
      <w:proofErr w:type="spellStart"/>
      <w:r>
        <w:t>Hopf</w:t>
      </w:r>
      <w:proofErr w:type="spellEnd"/>
      <w:r>
        <w:t xml:space="preserve"> </w:t>
      </w:r>
      <w:proofErr w:type="spellStart"/>
      <w:r>
        <w:t>algebroid</w:t>
      </w:r>
      <w:proofErr w:type="spellEnd"/>
      <w:r>
        <w:t xml:space="preserve"> and show how it generalizes  </w:t>
      </w:r>
      <w:proofErr w:type="spellStart"/>
      <w:r>
        <w:t>groupoids</w:t>
      </w:r>
      <w:proofErr w:type="spellEnd"/>
      <w:r>
        <w:t xml:space="preserve"> and </w:t>
      </w:r>
      <w:proofErr w:type="spellStart"/>
      <w:r>
        <w:t>Hopf</w:t>
      </w:r>
      <w:proofErr w:type="spellEnd"/>
      <w:r>
        <w:t xml:space="preserve"> algebras. If time permits, we </w:t>
      </w:r>
      <w:proofErr w:type="gramStart"/>
      <w:r>
        <w:t>will  try</w:t>
      </w:r>
      <w:proofErr w:type="gramEnd"/>
      <w:r>
        <w:t xml:space="preserve"> to show that </w:t>
      </w:r>
      <w:proofErr w:type="spellStart"/>
      <w:r>
        <w:t>Hopf</w:t>
      </w:r>
      <w:proofErr w:type="spellEnd"/>
      <w:r>
        <w:t xml:space="preserve"> </w:t>
      </w:r>
      <w:proofErr w:type="spellStart"/>
      <w:r>
        <w:t>algebroids</w:t>
      </w:r>
      <w:proofErr w:type="spellEnd"/>
      <w:r>
        <w:t xml:space="preserve"> can be viewed as  "generalized symmetries" by describing some of our own work.  </w:t>
      </w:r>
    </w:p>
    <w:p w:rsidR="00C63E07" w:rsidRPr="003E3EB8" w:rsidRDefault="00C63E07" w:rsidP="00C63E07">
      <w:pPr>
        <w:jc w:val="both"/>
        <w:rPr>
          <w:sz w:val="22"/>
          <w:szCs w:val="22"/>
        </w:rPr>
      </w:pPr>
    </w:p>
    <w:p w:rsidR="00C63E07" w:rsidRDefault="00C63E07" w:rsidP="00C63E07">
      <w:pPr>
        <w:rPr>
          <w:sz w:val="22"/>
          <w:szCs w:val="22"/>
        </w:rPr>
      </w:pPr>
    </w:p>
    <w:p w:rsidR="00C63E07" w:rsidRDefault="00C63E07" w:rsidP="00C63E07">
      <w:pPr>
        <w:rPr>
          <w:sz w:val="22"/>
          <w:szCs w:val="22"/>
        </w:rPr>
      </w:pPr>
    </w:p>
    <w:p w:rsidR="00C63E07" w:rsidRDefault="00C63E07" w:rsidP="00C63E07">
      <w:pPr>
        <w:rPr>
          <w:sz w:val="22"/>
          <w:szCs w:val="22"/>
        </w:rPr>
      </w:pPr>
    </w:p>
    <w:p w:rsidR="00C63E07" w:rsidRDefault="00C63E07" w:rsidP="00C63E07">
      <w:pPr>
        <w:rPr>
          <w:sz w:val="22"/>
          <w:szCs w:val="22"/>
        </w:rPr>
      </w:pPr>
    </w:p>
    <w:p w:rsidR="00755368" w:rsidRPr="00D952DC" w:rsidRDefault="00C63E07" w:rsidP="00D952DC">
      <w:pPr>
        <w:jc w:val="center"/>
        <w:rPr>
          <w:sz w:val="28"/>
          <w:szCs w:val="28"/>
        </w:rPr>
      </w:pPr>
      <w:r w:rsidRPr="00777155">
        <w:rPr>
          <w:sz w:val="28"/>
          <w:szCs w:val="28"/>
        </w:rPr>
        <w:t>ALL ARE CORDIALLY INVITED</w:t>
      </w:r>
      <w:bookmarkStart w:id="0" w:name="_GoBack"/>
      <w:bookmarkEnd w:id="0"/>
    </w:p>
    <w:sectPr w:rsidR="00755368" w:rsidRPr="00D95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07"/>
    <w:rsid w:val="00755368"/>
    <w:rsid w:val="00C63E07"/>
    <w:rsid w:val="00D9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49BA9-048E-40F2-84D2-0FCCE960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2019-04-25T06:23:00Z</dcterms:created>
  <dcterms:modified xsi:type="dcterms:W3CDTF">2019-04-25T06:25:00Z</dcterms:modified>
</cp:coreProperties>
</file>