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C0" w:rsidRPr="002F63C0" w:rsidRDefault="002F63C0" w:rsidP="002F6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2F63C0" w:rsidRPr="002F63C0" w:rsidRDefault="002F63C0" w:rsidP="002F63C0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666EAB5" wp14:editId="0546EE42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C0" w:rsidRPr="002F63C0" w:rsidRDefault="002F63C0" w:rsidP="002F63C0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2F63C0" w:rsidRPr="002F63C0" w:rsidRDefault="002F63C0" w:rsidP="002F63C0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2F63C0" w:rsidRPr="002F63C0" w:rsidRDefault="002F63C0" w:rsidP="002F63C0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2F63C0" w:rsidRPr="002F63C0" w:rsidRDefault="002F63C0" w:rsidP="002F63C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2F63C0" w:rsidRPr="002F63C0" w:rsidRDefault="002F63C0" w:rsidP="002F63C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2F63C0" w:rsidRPr="002F63C0" w:rsidRDefault="002F63C0" w:rsidP="002F63C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2F63C0" w:rsidRPr="002F63C0" w:rsidRDefault="002F63C0" w:rsidP="002F63C0">
      <w:pPr>
        <w:keepNext/>
        <w:spacing w:after="0" w:line="240" w:lineRule="auto"/>
        <w:ind w:right="-990"/>
        <w:jc w:val="both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2F63C0">
        <w:rPr>
          <w:rFonts w:ascii="Times New Roman" w:eastAsia="Times New Roman" w:hAnsi="Times New Roman" w:cs="Times New Roman"/>
          <w:iCs/>
          <w:sz w:val="48"/>
          <w:szCs w:val="48"/>
        </w:rPr>
        <w:t>Theoretical Statistics and Mathematics Unit</w:t>
      </w:r>
    </w:p>
    <w:p w:rsidR="002F63C0" w:rsidRPr="002F63C0" w:rsidRDefault="002F63C0" w:rsidP="002F63C0">
      <w:pPr>
        <w:spacing w:after="0" w:line="240" w:lineRule="auto"/>
        <w:ind w:right="-99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B675E" w:rsidRPr="00F94B69" w:rsidRDefault="009B675E" w:rsidP="00F94B69">
      <w:pPr>
        <w:jc w:val="center"/>
        <w:rPr>
          <w:rFonts w:ascii="Times New Roman" w:hAnsi="Times New Roman" w:cs="Times New Roman"/>
          <w:sz w:val="40"/>
          <w:szCs w:val="40"/>
        </w:rPr>
      </w:pPr>
      <w:r w:rsidRPr="00F94B69">
        <w:rPr>
          <w:rFonts w:ascii="Times New Roman" w:hAnsi="Times New Roman" w:cs="Times New Roman"/>
          <w:sz w:val="40"/>
          <w:szCs w:val="40"/>
        </w:rPr>
        <w:t>Monday Colloquium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C0" w:rsidRPr="002F63C0" w:rsidRDefault="00FF7D0A" w:rsidP="009E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16</w:t>
      </w:r>
      <w:r w:rsidR="002F63C0" w:rsidRPr="002F63C0">
        <w:rPr>
          <w:rFonts w:ascii="Times New Roman" w:eastAsia="Times New Roman" w:hAnsi="Times New Roman" w:cs="Times New Roman"/>
          <w:sz w:val="36"/>
          <w:szCs w:val="36"/>
        </w:rPr>
        <w:t xml:space="preserve">th April, 2018                    </w:t>
      </w:r>
      <w:r w:rsidR="009E5490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sz w:val="36"/>
          <w:szCs w:val="36"/>
        </w:rPr>
        <w:t>Time: 4.15</w:t>
      </w:r>
      <w:r w:rsidR="002F63C0" w:rsidRPr="002F63C0">
        <w:rPr>
          <w:rFonts w:ascii="Times New Roman" w:eastAsia="Times New Roman" w:hAnsi="Times New Roman" w:cs="Times New Roman"/>
          <w:sz w:val="36"/>
          <w:szCs w:val="36"/>
        </w:rPr>
        <w:t xml:space="preserve"> PM.</w:t>
      </w:r>
    </w:p>
    <w:p w:rsidR="009E5490" w:rsidRDefault="009E5490" w:rsidP="009E54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E5490" w:rsidRDefault="009E5490" w:rsidP="009E5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3C0" w:rsidRPr="002F63C0" w:rsidRDefault="002F63C0" w:rsidP="009E5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63C0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2F63C0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2F63C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0FAD" w:rsidRPr="00423619" w:rsidRDefault="00610FAD" w:rsidP="00610FAD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23619">
        <w:rPr>
          <w:rFonts w:ascii="Times New Roman" w:hAnsi="Times New Roman" w:cs="Times New Roman"/>
          <w:sz w:val="36"/>
          <w:szCs w:val="36"/>
        </w:rPr>
        <w:t>Choiti</w:t>
      </w:r>
      <w:proofErr w:type="spellEnd"/>
      <w:r w:rsidRPr="004236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23619">
        <w:rPr>
          <w:rFonts w:ascii="Times New Roman" w:hAnsi="Times New Roman" w:cs="Times New Roman"/>
          <w:sz w:val="36"/>
          <w:szCs w:val="36"/>
        </w:rPr>
        <w:t>Bandyopadhyay</w:t>
      </w:r>
      <w:proofErr w:type="spellEnd"/>
    </w:p>
    <w:p w:rsidR="00610FAD" w:rsidRPr="00423619" w:rsidRDefault="00610FAD" w:rsidP="00610FAD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423619">
        <w:rPr>
          <w:rFonts w:ascii="Times New Roman" w:hAnsi="Times New Roman" w:cs="Times New Roman"/>
          <w:sz w:val="36"/>
          <w:szCs w:val="36"/>
        </w:rPr>
        <w:t>University of Alberta</w:t>
      </w:r>
    </w:p>
    <w:p w:rsidR="002F63C0" w:rsidRPr="002F63C0" w:rsidRDefault="002F63C0" w:rsidP="0061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FAD" w:rsidRPr="00610FAD" w:rsidRDefault="00610FAD" w:rsidP="00610FAD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AD">
        <w:rPr>
          <w:rFonts w:ascii="Times New Roman" w:hAnsi="Times New Roman" w:cs="Times New Roman"/>
          <w:sz w:val="32"/>
          <w:szCs w:val="32"/>
        </w:rPr>
        <w:t xml:space="preserve">Analysis on </w:t>
      </w:r>
      <w:proofErr w:type="spellStart"/>
      <w:r w:rsidRPr="00610FAD">
        <w:rPr>
          <w:rFonts w:ascii="Times New Roman" w:hAnsi="Times New Roman" w:cs="Times New Roman"/>
          <w:sz w:val="32"/>
          <w:szCs w:val="32"/>
        </w:rPr>
        <w:t>Semihypergroups</w:t>
      </w:r>
      <w:proofErr w:type="spellEnd"/>
      <w:r w:rsidRPr="00610FAD">
        <w:rPr>
          <w:rFonts w:ascii="Times New Roman" w:hAnsi="Times New Roman" w:cs="Times New Roman"/>
          <w:sz w:val="32"/>
          <w:szCs w:val="32"/>
        </w:rPr>
        <w:t>: An Overview</w:t>
      </w:r>
    </w:p>
    <w:p w:rsidR="002F63C0" w:rsidRPr="002F63C0" w:rsidRDefault="002F63C0" w:rsidP="009D5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Abstract:</w:t>
      </w:r>
    </w:p>
    <w:p w:rsidR="002F63C0" w:rsidRPr="002F63C0" w:rsidRDefault="002F63C0" w:rsidP="002F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7F2" w:rsidRDefault="006E46A6" w:rsidP="006E46A6">
      <w:pPr>
        <w:pStyle w:val="NoSpacing"/>
        <w:jc w:val="both"/>
        <w:rPr>
          <w:rFonts w:ascii="Times New Roman" w:hAnsi="Times New Roman" w:cs="Times New Roman"/>
        </w:rPr>
      </w:pPr>
      <w:r w:rsidRPr="00E25AEE">
        <w:rPr>
          <w:rFonts w:ascii="Times New Roman" w:hAnsi="Times New Roman" w:cs="Times New Roman"/>
        </w:rPr>
        <w:t xml:space="preserve">The theory of </w:t>
      </w:r>
      <w:proofErr w:type="spellStart"/>
      <w:r w:rsidRPr="00E25AEE">
        <w:rPr>
          <w:rFonts w:ascii="Times New Roman" w:hAnsi="Times New Roman" w:cs="Times New Roman"/>
        </w:rPr>
        <w:t>semihypergroups</w:t>
      </w:r>
      <w:proofErr w:type="spellEnd"/>
      <w:r w:rsidRPr="00E25AEE">
        <w:rPr>
          <w:rFonts w:ascii="Times New Roman" w:hAnsi="Times New Roman" w:cs="Times New Roman"/>
        </w:rPr>
        <w:t xml:space="preserve"> and </w:t>
      </w:r>
      <w:proofErr w:type="spellStart"/>
      <w:r w:rsidRPr="00E25AEE">
        <w:rPr>
          <w:rFonts w:ascii="Times New Roman" w:hAnsi="Times New Roman" w:cs="Times New Roman"/>
        </w:rPr>
        <w:t>hypergroups</w:t>
      </w:r>
      <w:proofErr w:type="spellEnd"/>
      <w:r w:rsidRPr="00E25AEE">
        <w:rPr>
          <w:rFonts w:ascii="Times New Roman" w:hAnsi="Times New Roman" w:cs="Times New Roman"/>
        </w:rPr>
        <w:t xml:space="preserve"> allows a detailed study of measure algebras that can be expressed in terms of a convolution of measures on the underlying spaces. In particular, the class of </w:t>
      </w:r>
      <w:proofErr w:type="spellStart"/>
      <w:r w:rsidRPr="00E25AEE">
        <w:rPr>
          <w:rFonts w:ascii="Times New Roman" w:hAnsi="Times New Roman" w:cs="Times New Roman"/>
        </w:rPr>
        <w:t>semihypergroups</w:t>
      </w:r>
      <w:proofErr w:type="spellEnd"/>
      <w:r w:rsidRPr="00E25AEE">
        <w:rPr>
          <w:rFonts w:ascii="Times New Roman" w:hAnsi="Times New Roman" w:cs="Times New Roman"/>
        </w:rPr>
        <w:t xml:space="preserve"> contains many important examples of </w:t>
      </w:r>
      <w:proofErr w:type="spellStart"/>
      <w:r w:rsidRPr="00E25AEE">
        <w:rPr>
          <w:rFonts w:ascii="Times New Roman" w:hAnsi="Times New Roman" w:cs="Times New Roman"/>
        </w:rPr>
        <w:t>coset</w:t>
      </w:r>
      <w:proofErr w:type="spellEnd"/>
      <w:r w:rsidRPr="00E25AEE">
        <w:rPr>
          <w:rFonts w:ascii="Times New Roman" w:hAnsi="Times New Roman" w:cs="Times New Roman"/>
        </w:rPr>
        <w:t xml:space="preserve"> and orbit spaces in locally compact groups, which do not have enough structure to be a semigroup or a </w:t>
      </w:r>
      <w:proofErr w:type="spellStart"/>
      <w:r w:rsidRPr="00E25AEE">
        <w:rPr>
          <w:rFonts w:ascii="Times New Roman" w:hAnsi="Times New Roman" w:cs="Times New Roman"/>
        </w:rPr>
        <w:t>hypergroup</w:t>
      </w:r>
      <w:proofErr w:type="spellEnd"/>
      <w:r w:rsidRPr="00E25AEE">
        <w:rPr>
          <w:rFonts w:ascii="Times New Roman" w:hAnsi="Times New Roman" w:cs="Times New Roman"/>
        </w:rPr>
        <w:t xml:space="preserve">. The lack of any extensive prior research since its inception in 1972 and the significant examples it contains, opens up a number of intriguing new paths of research on </w:t>
      </w:r>
      <w:proofErr w:type="spellStart"/>
      <w:r w:rsidR="00E25AEE" w:rsidRPr="00E25AEE">
        <w:rPr>
          <w:rFonts w:ascii="Times New Roman" w:hAnsi="Times New Roman" w:cs="Times New Roman"/>
        </w:rPr>
        <w:t>semihypergroups</w:t>
      </w:r>
      <w:proofErr w:type="spellEnd"/>
      <w:r w:rsidR="00E25AEE" w:rsidRPr="00E25AEE">
        <w:rPr>
          <w:rFonts w:ascii="Times New Roman" w:hAnsi="Times New Roman" w:cs="Times New Roman"/>
        </w:rPr>
        <w:t xml:space="preserve">. </w:t>
      </w:r>
    </w:p>
    <w:p w:rsidR="00707677" w:rsidRDefault="00707677" w:rsidP="006E46A6">
      <w:pPr>
        <w:pStyle w:val="NoSpacing"/>
        <w:jc w:val="both"/>
        <w:rPr>
          <w:rFonts w:ascii="Times New Roman" w:hAnsi="Times New Roman" w:cs="Times New Roman"/>
        </w:rPr>
      </w:pPr>
    </w:p>
    <w:p w:rsidR="006E46A6" w:rsidRPr="00E25AEE" w:rsidRDefault="006E46A6" w:rsidP="006E46A6">
      <w:pPr>
        <w:pStyle w:val="NoSpacing"/>
        <w:jc w:val="both"/>
        <w:rPr>
          <w:rFonts w:ascii="Times New Roman" w:hAnsi="Times New Roman" w:cs="Times New Roman"/>
        </w:rPr>
      </w:pPr>
      <w:r w:rsidRPr="00E25AEE">
        <w:rPr>
          <w:rFonts w:ascii="Times New Roman" w:hAnsi="Times New Roman" w:cs="Times New Roman"/>
        </w:rPr>
        <w:t xml:space="preserve">In our talk, we will give a brief </w:t>
      </w:r>
      <w:r w:rsidR="00E25AEE" w:rsidRPr="00E25AEE">
        <w:rPr>
          <w:rFonts w:ascii="Times New Roman" w:hAnsi="Times New Roman" w:cs="Times New Roman"/>
        </w:rPr>
        <w:t xml:space="preserve">overview on how some well-known </w:t>
      </w:r>
      <w:r w:rsidRPr="00E25AEE">
        <w:rPr>
          <w:rFonts w:ascii="Times New Roman" w:hAnsi="Times New Roman" w:cs="Times New Roman"/>
        </w:rPr>
        <w:t>algebraic and analytic concepts and lang</w:t>
      </w:r>
      <w:r w:rsidR="00E25AEE" w:rsidRPr="00E25AEE">
        <w:rPr>
          <w:rFonts w:ascii="Times New Roman" w:hAnsi="Times New Roman" w:cs="Times New Roman"/>
        </w:rPr>
        <w:t xml:space="preserve">uage of classical semigroup and </w:t>
      </w:r>
      <w:r w:rsidRPr="00E25AEE">
        <w:rPr>
          <w:rFonts w:ascii="Times New Roman" w:hAnsi="Times New Roman" w:cs="Times New Roman"/>
        </w:rPr>
        <w:t xml:space="preserve">group theory can be translated for </w:t>
      </w:r>
      <w:proofErr w:type="spellStart"/>
      <w:r w:rsidRPr="00E25AEE">
        <w:rPr>
          <w:rFonts w:ascii="Times New Roman" w:hAnsi="Times New Roman" w:cs="Times New Roman"/>
        </w:rPr>
        <w:t>s</w:t>
      </w:r>
      <w:r w:rsidR="00E25AEE" w:rsidRPr="00E25AEE">
        <w:rPr>
          <w:rFonts w:ascii="Times New Roman" w:hAnsi="Times New Roman" w:cs="Times New Roman"/>
        </w:rPr>
        <w:t>emihypergroups</w:t>
      </w:r>
      <w:proofErr w:type="spellEnd"/>
      <w:r w:rsidR="00E25AEE" w:rsidRPr="00E25AEE">
        <w:rPr>
          <w:rFonts w:ascii="Times New Roman" w:hAnsi="Times New Roman" w:cs="Times New Roman"/>
        </w:rPr>
        <w:t xml:space="preserve">, and investigate </w:t>
      </w:r>
      <w:r w:rsidRPr="00E25AEE">
        <w:rPr>
          <w:rFonts w:ascii="Times New Roman" w:hAnsi="Times New Roman" w:cs="Times New Roman"/>
        </w:rPr>
        <w:t>where the theory deviates from the cla</w:t>
      </w:r>
      <w:r w:rsidR="00E25AEE" w:rsidRPr="00E25AEE">
        <w:rPr>
          <w:rFonts w:ascii="Times New Roman" w:hAnsi="Times New Roman" w:cs="Times New Roman"/>
        </w:rPr>
        <w:t xml:space="preserve">ssical theory of semigroups. In </w:t>
      </w:r>
      <w:r w:rsidRPr="00E25AEE">
        <w:rPr>
          <w:rFonts w:ascii="Times New Roman" w:hAnsi="Times New Roman" w:cs="Times New Roman"/>
        </w:rPr>
        <w:t xml:space="preserve">particular, we will discuss ideals and </w:t>
      </w:r>
      <w:proofErr w:type="spellStart"/>
      <w:r w:rsidR="00E25AEE" w:rsidRPr="00E25AEE">
        <w:rPr>
          <w:rFonts w:ascii="Times New Roman" w:hAnsi="Times New Roman" w:cs="Times New Roman"/>
        </w:rPr>
        <w:t>homomorphisms</w:t>
      </w:r>
      <w:proofErr w:type="spellEnd"/>
      <w:r w:rsidR="00E25AEE" w:rsidRPr="00E25AEE">
        <w:rPr>
          <w:rFonts w:ascii="Times New Roman" w:hAnsi="Times New Roman" w:cs="Times New Roman"/>
        </w:rPr>
        <w:t xml:space="preserve">, spaces of almost </w:t>
      </w:r>
      <w:r w:rsidRPr="00E25AEE">
        <w:rPr>
          <w:rFonts w:ascii="Times New Roman" w:hAnsi="Times New Roman" w:cs="Times New Roman"/>
        </w:rPr>
        <w:t>periodic and weakly almost peri</w:t>
      </w:r>
      <w:r w:rsidR="00E25AEE" w:rsidRPr="00E25AEE">
        <w:rPr>
          <w:rFonts w:ascii="Times New Roman" w:hAnsi="Times New Roman" w:cs="Times New Roman"/>
        </w:rPr>
        <w:t xml:space="preserve">odic functions and free-product </w:t>
      </w:r>
      <w:r w:rsidRPr="00E25AEE">
        <w:rPr>
          <w:rFonts w:ascii="Times New Roman" w:hAnsi="Times New Roman" w:cs="Times New Roman"/>
        </w:rPr>
        <w:t xml:space="preserve">structures in the category of </w:t>
      </w:r>
      <w:proofErr w:type="spellStart"/>
      <w:r w:rsidRPr="00E25AEE">
        <w:rPr>
          <w:rFonts w:ascii="Times New Roman" w:hAnsi="Times New Roman" w:cs="Times New Roman"/>
        </w:rPr>
        <w:t>semihypergroups</w:t>
      </w:r>
      <w:proofErr w:type="spellEnd"/>
      <w:r w:rsidRPr="00E25AEE">
        <w:rPr>
          <w:rFonts w:ascii="Times New Roman" w:hAnsi="Times New Roman" w:cs="Times New Roman"/>
        </w:rPr>
        <w:t>.</w:t>
      </w:r>
    </w:p>
    <w:p w:rsidR="006E46A6" w:rsidRPr="00E25AEE" w:rsidRDefault="006E46A6" w:rsidP="006E46A6">
      <w:pPr>
        <w:pStyle w:val="NoSpacing"/>
        <w:jc w:val="both"/>
        <w:rPr>
          <w:rFonts w:ascii="Times New Roman" w:hAnsi="Times New Roman" w:cs="Times New Roman"/>
        </w:rPr>
      </w:pPr>
    </w:p>
    <w:p w:rsidR="006E46A6" w:rsidRPr="00E25AEE" w:rsidRDefault="006E46A6" w:rsidP="006E46A6">
      <w:pPr>
        <w:pStyle w:val="NoSpacing"/>
        <w:jc w:val="both"/>
        <w:rPr>
          <w:rFonts w:ascii="Times New Roman" w:hAnsi="Times New Roman" w:cs="Times New Roman"/>
        </w:rPr>
      </w:pPr>
    </w:p>
    <w:p w:rsidR="006E46A6" w:rsidRDefault="006E46A6" w:rsidP="006E46A6">
      <w:pPr>
        <w:pStyle w:val="NoSpacing"/>
        <w:jc w:val="both"/>
      </w:pPr>
    </w:p>
    <w:p w:rsidR="006E46A6" w:rsidRDefault="006E46A6" w:rsidP="006E46A6">
      <w:pPr>
        <w:pStyle w:val="NoSpacing"/>
        <w:jc w:val="both"/>
      </w:pPr>
    </w:p>
    <w:p w:rsidR="009B675E" w:rsidRPr="00823526" w:rsidRDefault="002F63C0" w:rsidP="0082352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3C0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  <w:bookmarkStart w:id="0" w:name="_GoBack"/>
      <w:bookmarkEnd w:id="0"/>
    </w:p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p w:rsidR="009B675E" w:rsidRDefault="009B675E" w:rsidP="00B120D9"/>
    <w:sectPr w:rsidR="009B67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C0"/>
    <w:rsid w:val="0002085A"/>
    <w:rsid w:val="000B1DB7"/>
    <w:rsid w:val="002F63C0"/>
    <w:rsid w:val="00423619"/>
    <w:rsid w:val="005146AE"/>
    <w:rsid w:val="00610FAD"/>
    <w:rsid w:val="006E46A6"/>
    <w:rsid w:val="00707677"/>
    <w:rsid w:val="00823526"/>
    <w:rsid w:val="009B675E"/>
    <w:rsid w:val="009D5E02"/>
    <w:rsid w:val="009E5490"/>
    <w:rsid w:val="00B120D9"/>
    <w:rsid w:val="00B46C0B"/>
    <w:rsid w:val="00C17E74"/>
    <w:rsid w:val="00C707F2"/>
    <w:rsid w:val="00C81886"/>
    <w:rsid w:val="00E25AEE"/>
    <w:rsid w:val="00E55870"/>
    <w:rsid w:val="00F85416"/>
    <w:rsid w:val="00F94B69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17D98-3EC2-4CE7-83B4-ADD862C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2018-04-10T06:00:00Z</dcterms:created>
  <dcterms:modified xsi:type="dcterms:W3CDTF">2018-04-10T07:24:00Z</dcterms:modified>
</cp:coreProperties>
</file>