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731E" w:rsidRPr="007037CB" w:rsidRDefault="00AC731E" w:rsidP="00AC731E">
      <w:pPr>
        <w:spacing w:after="160" w:line="259" w:lineRule="auto"/>
        <w:rPr>
          <w:rFonts w:asciiTheme="minorHAnsi" w:eastAsiaTheme="minorHAnsi" w:hAnsiTheme="minorHAnsi" w:cstheme="minorBidi"/>
          <w:sz w:val="22"/>
          <w:szCs w:val="22"/>
        </w:rPr>
      </w:pPr>
    </w:p>
    <w:p w:rsidR="00AC731E" w:rsidRPr="007037CB" w:rsidRDefault="00AC731E" w:rsidP="00AC731E">
      <w:pPr>
        <w:framePr w:hSpace="180" w:wrap="around" w:vAnchor="text" w:hAnchor="page" w:x="5421" w:y="201"/>
        <w:rPr>
          <w:b/>
          <w:color w:val="000000"/>
        </w:rPr>
      </w:pPr>
      <w:r w:rsidRPr="007037CB">
        <w:rPr>
          <w:b/>
          <w:noProof/>
          <w:color w:val="000000"/>
        </w:rPr>
        <w:drawing>
          <wp:inline distT="0" distB="0" distL="0" distR="0" wp14:anchorId="29427563" wp14:editId="759E1C32">
            <wp:extent cx="790575" cy="914400"/>
            <wp:effectExtent l="0" t="0" r="952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90575" cy="914400"/>
                    </a:xfrm>
                    <a:prstGeom prst="rect">
                      <a:avLst/>
                    </a:prstGeom>
                    <a:noFill/>
                    <a:ln>
                      <a:noFill/>
                    </a:ln>
                  </pic:spPr>
                </pic:pic>
              </a:graphicData>
            </a:graphic>
          </wp:inline>
        </w:drawing>
      </w:r>
    </w:p>
    <w:p w:rsidR="00AC731E" w:rsidRPr="007037CB" w:rsidRDefault="00AC731E" w:rsidP="00AC731E">
      <w:pPr>
        <w:framePr w:w="3177" w:h="1873" w:hSpace="180" w:wrap="around" w:vAnchor="text" w:hAnchor="page" w:x="8209" w:y="201"/>
        <w:rPr>
          <w:b/>
          <w:color w:val="000000"/>
        </w:rPr>
      </w:pPr>
      <w:r w:rsidRPr="007037CB">
        <w:rPr>
          <w:b/>
          <w:color w:val="000000"/>
        </w:rPr>
        <w:t xml:space="preserve">                               </w:t>
      </w:r>
    </w:p>
    <w:p w:rsidR="00AC731E" w:rsidRDefault="00AC731E" w:rsidP="00AC731E">
      <w:pPr>
        <w:ind w:right="-990"/>
        <w:rPr>
          <w:rFonts w:ascii="Bodoni" w:hAnsi="Bodoni"/>
          <w:b/>
          <w:smallCaps/>
          <w:sz w:val="56"/>
          <w:szCs w:val="20"/>
        </w:rPr>
      </w:pPr>
    </w:p>
    <w:p w:rsidR="00AC731E" w:rsidRDefault="00AC731E" w:rsidP="00AC731E">
      <w:pPr>
        <w:ind w:right="-990"/>
        <w:rPr>
          <w:rFonts w:ascii="Bodoni" w:hAnsi="Bodoni"/>
          <w:b/>
          <w:smallCaps/>
          <w:sz w:val="56"/>
          <w:szCs w:val="20"/>
        </w:rPr>
      </w:pPr>
    </w:p>
    <w:p w:rsidR="00AC731E" w:rsidRPr="007037CB" w:rsidRDefault="00AC731E" w:rsidP="00AC731E">
      <w:pPr>
        <w:ind w:right="-990"/>
        <w:rPr>
          <w:rFonts w:ascii="Garamond" w:hAnsi="Garamond"/>
          <w:b/>
        </w:rPr>
      </w:pPr>
    </w:p>
    <w:p w:rsidR="00AC731E" w:rsidRPr="007037CB" w:rsidRDefault="00AC731E" w:rsidP="00AC731E">
      <w:pPr>
        <w:ind w:right="-990"/>
        <w:rPr>
          <w:rFonts w:ascii="Garamond" w:hAnsi="Garamond"/>
          <w:b/>
        </w:rPr>
      </w:pPr>
    </w:p>
    <w:p w:rsidR="00AC731E" w:rsidRPr="007037CB" w:rsidRDefault="00AC731E" w:rsidP="00AC731E">
      <w:pPr>
        <w:ind w:right="-990"/>
        <w:rPr>
          <w:rFonts w:ascii="Garamond" w:hAnsi="Garamond"/>
          <w:b/>
        </w:rPr>
      </w:pPr>
    </w:p>
    <w:p w:rsidR="00AC731E" w:rsidRPr="007037CB" w:rsidRDefault="00AC731E" w:rsidP="00AC731E">
      <w:pPr>
        <w:keepNext/>
        <w:ind w:right="-990"/>
        <w:jc w:val="center"/>
        <w:outlineLvl w:val="0"/>
        <w:rPr>
          <w:iCs/>
          <w:sz w:val="44"/>
          <w:szCs w:val="44"/>
        </w:rPr>
      </w:pPr>
      <w:r w:rsidRPr="007037CB">
        <w:rPr>
          <w:iCs/>
          <w:sz w:val="44"/>
          <w:szCs w:val="44"/>
        </w:rPr>
        <w:t>Theoretical Statistics and Mathematics Unit</w:t>
      </w:r>
    </w:p>
    <w:p w:rsidR="00AC731E" w:rsidRPr="007037CB" w:rsidRDefault="00AC731E" w:rsidP="00AC731E">
      <w:pPr>
        <w:keepNext/>
        <w:ind w:right="-990"/>
        <w:jc w:val="center"/>
        <w:outlineLvl w:val="0"/>
        <w:rPr>
          <w:iCs/>
          <w:sz w:val="44"/>
          <w:szCs w:val="44"/>
        </w:rPr>
      </w:pPr>
    </w:p>
    <w:p w:rsidR="00AC731E" w:rsidRPr="00B64661" w:rsidRDefault="00AC731E" w:rsidP="00AC731E">
      <w:pPr>
        <w:jc w:val="center"/>
        <w:rPr>
          <w:sz w:val="48"/>
          <w:szCs w:val="48"/>
        </w:rPr>
      </w:pPr>
      <w:r w:rsidRPr="00B64661">
        <w:rPr>
          <w:rFonts w:eastAsiaTheme="minorHAnsi"/>
          <w:sz w:val="48"/>
          <w:szCs w:val="48"/>
        </w:rPr>
        <w:t>Seminar</w:t>
      </w:r>
    </w:p>
    <w:p w:rsidR="00AC731E" w:rsidRPr="007037CB" w:rsidRDefault="00AC731E" w:rsidP="00AC731E"/>
    <w:p w:rsidR="00AC731E" w:rsidRPr="007037CB" w:rsidRDefault="00AC731E" w:rsidP="00AC731E">
      <w:pPr>
        <w:jc w:val="center"/>
        <w:rPr>
          <w:sz w:val="36"/>
          <w:szCs w:val="36"/>
        </w:rPr>
      </w:pPr>
      <w:r>
        <w:rPr>
          <w:sz w:val="36"/>
          <w:szCs w:val="36"/>
        </w:rPr>
        <w:t>Date: January 09, 2019</w:t>
      </w:r>
      <w:r w:rsidRPr="007037CB">
        <w:rPr>
          <w:sz w:val="36"/>
          <w:szCs w:val="36"/>
        </w:rPr>
        <w:t xml:space="preserve">     </w:t>
      </w:r>
      <w:r>
        <w:rPr>
          <w:sz w:val="36"/>
          <w:szCs w:val="36"/>
        </w:rPr>
        <w:t xml:space="preserve">                   Time: 04:15</w:t>
      </w:r>
      <w:r w:rsidRPr="007037CB">
        <w:rPr>
          <w:sz w:val="36"/>
          <w:szCs w:val="36"/>
        </w:rPr>
        <w:t xml:space="preserve"> P.M.</w:t>
      </w:r>
    </w:p>
    <w:p w:rsidR="00AC731E" w:rsidRPr="007037CB" w:rsidRDefault="00AC731E" w:rsidP="00AC731E">
      <w:pPr>
        <w:rPr>
          <w:sz w:val="28"/>
          <w:szCs w:val="28"/>
        </w:rPr>
      </w:pPr>
    </w:p>
    <w:p w:rsidR="00AC731E" w:rsidRDefault="00AC731E" w:rsidP="00AC731E">
      <w:pPr>
        <w:jc w:val="center"/>
        <w:rPr>
          <w:sz w:val="28"/>
          <w:szCs w:val="28"/>
        </w:rPr>
      </w:pPr>
      <w:r w:rsidRPr="006A17AB">
        <w:rPr>
          <w:sz w:val="28"/>
          <w:szCs w:val="28"/>
        </w:rPr>
        <w:t xml:space="preserve">Venue: L-infinity, Stat-Math Unit (5th Floor, A.N. Kolmogorov </w:t>
      </w:r>
      <w:proofErr w:type="spellStart"/>
      <w:r w:rsidRPr="006A17AB">
        <w:rPr>
          <w:sz w:val="28"/>
          <w:szCs w:val="28"/>
        </w:rPr>
        <w:t>Bhavan</w:t>
      </w:r>
      <w:proofErr w:type="spellEnd"/>
      <w:r w:rsidRPr="006A17AB">
        <w:rPr>
          <w:sz w:val="28"/>
          <w:szCs w:val="28"/>
        </w:rPr>
        <w:t>)</w:t>
      </w:r>
    </w:p>
    <w:p w:rsidR="00AC731E" w:rsidRDefault="00AC731E" w:rsidP="00AC731E">
      <w:pPr>
        <w:rPr>
          <w:color w:val="333333"/>
          <w:sz w:val="48"/>
          <w:szCs w:val="48"/>
          <w:shd w:val="clear" w:color="auto" w:fill="FFFFFF"/>
        </w:rPr>
      </w:pPr>
    </w:p>
    <w:p w:rsidR="00AC731E" w:rsidRPr="00722C05" w:rsidRDefault="00AC731E" w:rsidP="00AC731E">
      <w:pPr>
        <w:jc w:val="center"/>
        <w:rPr>
          <w:sz w:val="48"/>
          <w:szCs w:val="48"/>
        </w:rPr>
      </w:pPr>
      <w:proofErr w:type="spellStart"/>
      <w:r w:rsidRPr="00722C05">
        <w:rPr>
          <w:sz w:val="48"/>
          <w:szCs w:val="48"/>
        </w:rPr>
        <w:t>Promit</w:t>
      </w:r>
      <w:proofErr w:type="spellEnd"/>
      <w:r w:rsidRPr="00722C05">
        <w:rPr>
          <w:sz w:val="48"/>
          <w:szCs w:val="48"/>
        </w:rPr>
        <w:t xml:space="preserve"> </w:t>
      </w:r>
      <w:proofErr w:type="spellStart"/>
      <w:r w:rsidRPr="00722C05">
        <w:rPr>
          <w:sz w:val="48"/>
          <w:szCs w:val="48"/>
        </w:rPr>
        <w:t>Ghosal</w:t>
      </w:r>
      <w:proofErr w:type="spellEnd"/>
    </w:p>
    <w:p w:rsidR="00AC731E" w:rsidRPr="000C749F" w:rsidRDefault="00AC731E" w:rsidP="00AC731E">
      <w:pPr>
        <w:jc w:val="center"/>
        <w:rPr>
          <w:sz w:val="48"/>
          <w:szCs w:val="48"/>
        </w:rPr>
      </w:pPr>
      <w:r w:rsidRPr="00722C05">
        <w:rPr>
          <w:sz w:val="48"/>
          <w:szCs w:val="48"/>
        </w:rPr>
        <w:t>Columbia University</w:t>
      </w:r>
    </w:p>
    <w:p w:rsidR="00AC731E" w:rsidRDefault="00AC731E" w:rsidP="00AC731E"/>
    <w:p w:rsidR="00AC731E" w:rsidRDefault="00AC731E" w:rsidP="00AC731E"/>
    <w:p w:rsidR="00AC731E" w:rsidRPr="000C749F" w:rsidRDefault="00AC731E" w:rsidP="00AC731E">
      <w:pPr>
        <w:jc w:val="center"/>
        <w:rPr>
          <w:sz w:val="32"/>
          <w:szCs w:val="32"/>
        </w:rPr>
      </w:pPr>
      <w:r w:rsidRPr="000C749F">
        <w:rPr>
          <w:sz w:val="32"/>
          <w:szCs w:val="32"/>
        </w:rPr>
        <w:t>Tails of the KPZ equation</w:t>
      </w:r>
    </w:p>
    <w:p w:rsidR="00AC731E" w:rsidRPr="000C749F" w:rsidRDefault="00AC731E" w:rsidP="00AC731E">
      <w:pPr>
        <w:jc w:val="center"/>
        <w:rPr>
          <w:color w:val="333333"/>
          <w:sz w:val="32"/>
          <w:szCs w:val="32"/>
          <w:shd w:val="clear" w:color="auto" w:fill="FFFFFF"/>
        </w:rPr>
      </w:pPr>
    </w:p>
    <w:p w:rsidR="00AC731E" w:rsidRDefault="00AC731E" w:rsidP="00AC731E">
      <w:pPr>
        <w:jc w:val="center"/>
      </w:pPr>
      <w:r>
        <w:t>Abstract</w:t>
      </w:r>
    </w:p>
    <w:p w:rsidR="00AC731E" w:rsidRDefault="00AC731E" w:rsidP="00AC731E">
      <w:pPr>
        <w:jc w:val="both"/>
      </w:pPr>
    </w:p>
    <w:p w:rsidR="00AC731E" w:rsidRDefault="00AC731E" w:rsidP="00AC731E">
      <w:pPr>
        <w:jc w:val="center"/>
      </w:pPr>
    </w:p>
    <w:p w:rsidR="00AC731E" w:rsidRDefault="00AC731E" w:rsidP="00AC731E">
      <w:pPr>
        <w:jc w:val="both"/>
      </w:pPr>
      <w:r>
        <w:t>The KPZ equation is a fundamental stochastic PDE related to modeling random growth processes, Burgers turbulence, interacting particle system, random polymers etc. In this talk, we focus on the tail probabilities of the solution of the KPZ equation. For instance, we investigate the probability of the solution being smaller or larger than the expected value. Our analysis is based on an exact identity between the KPZ equation and the Airy point process (which arises at the edge of the spectrum of the random Hermitian matrices) and the Brownian Gibbs property of the KPZ line ensemble.</w:t>
      </w:r>
    </w:p>
    <w:p w:rsidR="00AC731E" w:rsidRDefault="00AC731E" w:rsidP="00AC731E">
      <w:pPr>
        <w:jc w:val="both"/>
      </w:pPr>
      <w:r>
        <w:t xml:space="preserve">This talk will be based on a joint work with my advisor Prof. Ivan Corwin. </w:t>
      </w:r>
    </w:p>
    <w:p w:rsidR="00AC731E" w:rsidRDefault="00AC731E" w:rsidP="00AC731E">
      <w:pPr>
        <w:jc w:val="center"/>
        <w:rPr>
          <w:sz w:val="22"/>
          <w:szCs w:val="22"/>
        </w:rPr>
      </w:pPr>
    </w:p>
    <w:p w:rsidR="00AC731E" w:rsidRDefault="00AC731E" w:rsidP="00AC731E">
      <w:pPr>
        <w:jc w:val="center"/>
        <w:rPr>
          <w:sz w:val="22"/>
          <w:szCs w:val="22"/>
        </w:rPr>
      </w:pPr>
    </w:p>
    <w:p w:rsidR="00AC731E" w:rsidRPr="00EE4D6C" w:rsidRDefault="00AC731E" w:rsidP="00AC731E">
      <w:pPr>
        <w:jc w:val="center"/>
        <w:rPr>
          <w:sz w:val="22"/>
          <w:szCs w:val="22"/>
        </w:rPr>
      </w:pPr>
      <w:r w:rsidRPr="001C3998">
        <w:rPr>
          <w:sz w:val="22"/>
          <w:szCs w:val="22"/>
        </w:rPr>
        <w:t>ALL ARE CORDIALLY INVITED</w:t>
      </w:r>
    </w:p>
    <w:p w:rsidR="00AC731E" w:rsidRDefault="00AC731E" w:rsidP="00AC731E"/>
    <w:p w:rsidR="00812444" w:rsidRDefault="00812444">
      <w:bookmarkStart w:id="0" w:name="_GoBack"/>
      <w:bookmarkEnd w:id="0"/>
    </w:p>
    <w:sectPr w:rsidR="00812444">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doni">
    <w:altName w:val="Times New Roman"/>
    <w:charset w:val="00"/>
    <w:family w:val="roman"/>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31E"/>
    <w:rsid w:val="00812444"/>
    <w:rsid w:val="00AC7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5CADDD-220E-4180-A9F0-EC09C508C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31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148</Words>
  <Characters>850</Characters>
  <Application>Microsoft Office Word</Application>
  <DocSecurity>0</DocSecurity>
  <Lines>7</Lines>
  <Paragraphs>1</Paragraphs>
  <ScaleCrop>false</ScaleCrop>
  <Company/>
  <LinksUpToDate>false</LinksUpToDate>
  <CharactersWithSpaces>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2019-01-02T06:20:00Z</dcterms:created>
  <dcterms:modified xsi:type="dcterms:W3CDTF">2019-01-02T06:21:00Z</dcterms:modified>
</cp:coreProperties>
</file>