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AB" w:rsidRDefault="000259AB" w:rsidP="000259AB">
      <w:pPr>
        <w:jc w:val="center"/>
      </w:pPr>
    </w:p>
    <w:p w:rsidR="000259AB" w:rsidRPr="007037CB" w:rsidRDefault="000259AB" w:rsidP="000259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0259AB" w:rsidRPr="007037CB" w:rsidRDefault="000259AB" w:rsidP="000259AB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3C1A5550" wp14:editId="5947A7F1">
            <wp:extent cx="790575" cy="9144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AB" w:rsidRPr="007037CB" w:rsidRDefault="000259AB" w:rsidP="000259AB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0259AB" w:rsidRDefault="000259AB" w:rsidP="000259AB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0259AB" w:rsidRDefault="000259AB" w:rsidP="000259AB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0259AB" w:rsidRPr="007037CB" w:rsidRDefault="000259AB" w:rsidP="000259AB">
      <w:pPr>
        <w:ind w:right="-990"/>
        <w:rPr>
          <w:rFonts w:ascii="Garamond" w:hAnsi="Garamond"/>
          <w:b/>
        </w:rPr>
      </w:pPr>
    </w:p>
    <w:p w:rsidR="000259AB" w:rsidRPr="007037CB" w:rsidRDefault="000259AB" w:rsidP="000259AB">
      <w:pPr>
        <w:ind w:right="-990"/>
        <w:rPr>
          <w:rFonts w:ascii="Garamond" w:hAnsi="Garamond"/>
          <w:b/>
        </w:rPr>
      </w:pPr>
    </w:p>
    <w:p w:rsidR="000259AB" w:rsidRPr="007037CB" w:rsidRDefault="000259AB" w:rsidP="000259AB">
      <w:pPr>
        <w:ind w:right="-990"/>
        <w:rPr>
          <w:rFonts w:ascii="Garamond" w:hAnsi="Garamond"/>
          <w:b/>
        </w:rPr>
      </w:pPr>
    </w:p>
    <w:p w:rsidR="000259AB" w:rsidRPr="007037CB" w:rsidRDefault="000259AB" w:rsidP="000259AB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0259AB" w:rsidRPr="007037CB" w:rsidRDefault="000259AB" w:rsidP="000259AB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0259AB" w:rsidRDefault="000259AB" w:rsidP="000259AB">
      <w:pPr>
        <w:jc w:val="center"/>
      </w:pPr>
      <w:r>
        <w:rPr>
          <w:rFonts w:eastAsiaTheme="minorHAnsi"/>
          <w:sz w:val="48"/>
          <w:szCs w:val="48"/>
        </w:rPr>
        <w:t xml:space="preserve">Topology Seminar </w:t>
      </w:r>
      <w:r>
        <w:t xml:space="preserve"> </w:t>
      </w:r>
    </w:p>
    <w:p w:rsidR="000259AB" w:rsidRPr="007037CB" w:rsidRDefault="000259AB" w:rsidP="000259AB"/>
    <w:p w:rsidR="000259AB" w:rsidRPr="007037CB" w:rsidRDefault="000259AB" w:rsidP="000259AB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August 28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  Time: 03:30</w:t>
      </w:r>
      <w:r w:rsidRPr="007037CB">
        <w:rPr>
          <w:sz w:val="36"/>
          <w:szCs w:val="36"/>
        </w:rPr>
        <w:t xml:space="preserve"> P.M.</w:t>
      </w:r>
    </w:p>
    <w:p w:rsidR="000259AB" w:rsidRPr="007037CB" w:rsidRDefault="000259AB" w:rsidP="000259AB">
      <w:pPr>
        <w:rPr>
          <w:sz w:val="28"/>
          <w:szCs w:val="28"/>
        </w:rPr>
      </w:pPr>
    </w:p>
    <w:p w:rsidR="000259AB" w:rsidRPr="006A17AB" w:rsidRDefault="000259AB" w:rsidP="000259AB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0259AB" w:rsidRPr="000550F1" w:rsidRDefault="000259AB" w:rsidP="000259AB">
      <w:pPr>
        <w:rPr>
          <w:sz w:val="48"/>
          <w:szCs w:val="48"/>
        </w:rPr>
      </w:pPr>
    </w:p>
    <w:p w:rsidR="000259AB" w:rsidRPr="007C135A" w:rsidRDefault="000259AB" w:rsidP="000259AB">
      <w:pPr>
        <w:jc w:val="center"/>
        <w:rPr>
          <w:sz w:val="52"/>
          <w:szCs w:val="52"/>
        </w:rPr>
      </w:pPr>
      <w:proofErr w:type="spellStart"/>
      <w:r w:rsidRPr="007C135A">
        <w:rPr>
          <w:sz w:val="52"/>
          <w:szCs w:val="52"/>
        </w:rPr>
        <w:t>Samik</w:t>
      </w:r>
      <w:proofErr w:type="spellEnd"/>
      <w:r w:rsidRPr="007C135A">
        <w:rPr>
          <w:sz w:val="52"/>
          <w:szCs w:val="52"/>
        </w:rPr>
        <w:t xml:space="preserve"> </w:t>
      </w:r>
      <w:proofErr w:type="spellStart"/>
      <w:r w:rsidRPr="007C135A">
        <w:rPr>
          <w:sz w:val="52"/>
          <w:szCs w:val="52"/>
        </w:rPr>
        <w:t>Basu</w:t>
      </w:r>
      <w:proofErr w:type="spellEnd"/>
    </w:p>
    <w:p w:rsidR="000259AB" w:rsidRPr="007C135A" w:rsidRDefault="000259AB" w:rsidP="000259AB">
      <w:pPr>
        <w:jc w:val="center"/>
        <w:rPr>
          <w:sz w:val="52"/>
          <w:szCs w:val="52"/>
        </w:rPr>
      </w:pPr>
      <w:r w:rsidRPr="007C135A">
        <w:rPr>
          <w:sz w:val="52"/>
          <w:szCs w:val="52"/>
        </w:rPr>
        <w:t>ISI Kolkata</w:t>
      </w:r>
    </w:p>
    <w:p w:rsidR="000259AB" w:rsidRPr="000550F1" w:rsidRDefault="000259AB" w:rsidP="000259AB">
      <w:pPr>
        <w:jc w:val="center"/>
        <w:rPr>
          <w:sz w:val="48"/>
          <w:szCs w:val="48"/>
        </w:rPr>
      </w:pPr>
    </w:p>
    <w:p w:rsidR="000259AB" w:rsidRPr="0006586D" w:rsidRDefault="000259AB" w:rsidP="000259AB">
      <w:pPr>
        <w:jc w:val="center"/>
        <w:rPr>
          <w:sz w:val="32"/>
          <w:szCs w:val="32"/>
        </w:rPr>
      </w:pPr>
      <w:r w:rsidRPr="0006586D">
        <w:rPr>
          <w:sz w:val="32"/>
          <w:szCs w:val="32"/>
        </w:rPr>
        <w:t xml:space="preserve">Sullivan-Wilkerson Theorem      </w:t>
      </w:r>
    </w:p>
    <w:p w:rsidR="000259AB" w:rsidRDefault="000259AB" w:rsidP="000259AB">
      <w:pPr>
        <w:jc w:val="center"/>
        <w:rPr>
          <w:sz w:val="32"/>
          <w:szCs w:val="32"/>
        </w:rPr>
      </w:pPr>
    </w:p>
    <w:p w:rsidR="000259AB" w:rsidRDefault="000259AB" w:rsidP="000259AB">
      <w:pPr>
        <w:jc w:val="center"/>
        <w:rPr>
          <w:sz w:val="32"/>
          <w:szCs w:val="32"/>
        </w:rPr>
      </w:pPr>
    </w:p>
    <w:p w:rsidR="000259AB" w:rsidRPr="0006586D" w:rsidRDefault="000259AB" w:rsidP="000259AB">
      <w:pPr>
        <w:jc w:val="center"/>
      </w:pPr>
      <w:r>
        <w:t>Abstract</w:t>
      </w:r>
    </w:p>
    <w:p w:rsidR="000259AB" w:rsidRDefault="000259AB" w:rsidP="000259AB"/>
    <w:p w:rsidR="000259AB" w:rsidRDefault="000259AB" w:rsidP="000259AB">
      <w:pPr>
        <w:jc w:val="both"/>
      </w:pPr>
      <w:r>
        <w:t xml:space="preserve">We discuss a proof of the theorem that the group of </w:t>
      </w:r>
      <w:proofErr w:type="spellStart"/>
      <w:r>
        <w:t>homotopy</w:t>
      </w:r>
      <w:proofErr w:type="spellEnd"/>
      <w:r>
        <w:t xml:space="preserve"> equivalences is finitely presented if the spaces are either 1) </w:t>
      </w:r>
      <w:proofErr w:type="gramStart"/>
      <w:r>
        <w:t>Finite  CW</w:t>
      </w:r>
      <w:proofErr w:type="gramEnd"/>
      <w:r>
        <w:t xml:space="preserve"> complexes or 2) Finite stage </w:t>
      </w:r>
      <w:proofErr w:type="spellStart"/>
      <w:r>
        <w:t>Postnikov</w:t>
      </w:r>
      <w:proofErr w:type="spellEnd"/>
      <w:r>
        <w:t xml:space="preserve"> systems of finite type. This was proved independently by Sullivan and Wilkerson. </w:t>
      </w:r>
    </w:p>
    <w:p w:rsidR="000259AB" w:rsidRDefault="000259AB" w:rsidP="000259AB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0259AB" w:rsidRDefault="000259AB" w:rsidP="000259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0259AB" w:rsidRPr="007037CB" w:rsidRDefault="000259AB" w:rsidP="000259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0259AB" w:rsidRPr="007037CB" w:rsidRDefault="000259AB" w:rsidP="000259AB">
      <w:pPr>
        <w:jc w:val="center"/>
      </w:pPr>
      <w:r w:rsidRPr="007037CB">
        <w:t>ALL ARE CORDIALLY INVITED</w:t>
      </w:r>
    </w:p>
    <w:p w:rsidR="000259AB" w:rsidRDefault="000259AB" w:rsidP="000259AB">
      <w:pPr>
        <w:jc w:val="center"/>
      </w:pPr>
    </w:p>
    <w:p w:rsidR="000259AB" w:rsidRDefault="000259AB" w:rsidP="000259AB">
      <w:pPr>
        <w:jc w:val="center"/>
      </w:pPr>
    </w:p>
    <w:p w:rsidR="000259AB" w:rsidRDefault="000259AB" w:rsidP="000259AB">
      <w:pPr>
        <w:jc w:val="center"/>
      </w:pPr>
      <w:bookmarkStart w:id="0" w:name="_GoBack"/>
      <w:bookmarkEnd w:id="0"/>
    </w:p>
    <w:sectPr w:rsidR="00025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AB"/>
    <w:rsid w:val="000259AB"/>
    <w:rsid w:val="0009289A"/>
    <w:rsid w:val="00591D22"/>
    <w:rsid w:val="00B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A6F24-D750-4DF7-B57F-7A143916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2018-08-28T06:31:00Z</dcterms:created>
  <dcterms:modified xsi:type="dcterms:W3CDTF">2018-08-28T06:33:00Z</dcterms:modified>
</cp:coreProperties>
</file>