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6BF" w:rsidRPr="007037CB" w:rsidRDefault="00D176BF" w:rsidP="00D176BF">
      <w:pPr>
        <w:spacing w:after="160" w:line="259" w:lineRule="auto"/>
        <w:rPr>
          <w:rFonts w:asciiTheme="minorHAnsi" w:eastAsiaTheme="minorHAnsi" w:hAnsiTheme="minorHAnsi" w:cstheme="minorBidi"/>
          <w:sz w:val="22"/>
          <w:szCs w:val="22"/>
        </w:rPr>
      </w:pPr>
    </w:p>
    <w:p w:rsidR="00D176BF" w:rsidRPr="007037CB" w:rsidRDefault="00D176BF" w:rsidP="00D176BF">
      <w:pPr>
        <w:framePr w:hSpace="180" w:wrap="around" w:vAnchor="text" w:hAnchor="page" w:x="5421" w:y="201"/>
        <w:rPr>
          <w:b/>
          <w:color w:val="000000"/>
        </w:rPr>
      </w:pPr>
      <w:r w:rsidRPr="007037CB">
        <w:rPr>
          <w:b/>
          <w:noProof/>
          <w:color w:val="000000"/>
        </w:rPr>
        <w:drawing>
          <wp:inline distT="0" distB="0" distL="0" distR="0" wp14:anchorId="54812998" wp14:editId="7A2580F6">
            <wp:extent cx="790575" cy="9144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D176BF" w:rsidRPr="007037CB" w:rsidRDefault="00D176BF" w:rsidP="00D176BF">
      <w:pPr>
        <w:framePr w:w="3177" w:h="1873" w:hSpace="180" w:wrap="around" w:vAnchor="text" w:hAnchor="page" w:x="8209" w:y="201"/>
        <w:rPr>
          <w:b/>
          <w:color w:val="000000"/>
        </w:rPr>
      </w:pPr>
      <w:r w:rsidRPr="007037CB">
        <w:rPr>
          <w:b/>
          <w:color w:val="000000"/>
        </w:rPr>
        <w:t xml:space="preserve">                               </w:t>
      </w:r>
    </w:p>
    <w:p w:rsidR="00D176BF" w:rsidRDefault="00D176BF" w:rsidP="00D176BF">
      <w:pPr>
        <w:ind w:right="-990"/>
        <w:rPr>
          <w:rFonts w:ascii="Bodoni" w:hAnsi="Bodoni"/>
          <w:b/>
          <w:smallCaps/>
          <w:sz w:val="56"/>
          <w:szCs w:val="20"/>
        </w:rPr>
      </w:pPr>
    </w:p>
    <w:p w:rsidR="00D176BF" w:rsidRDefault="00D176BF" w:rsidP="00D176BF">
      <w:pPr>
        <w:ind w:right="-990"/>
        <w:rPr>
          <w:rFonts w:ascii="Bodoni" w:hAnsi="Bodoni"/>
          <w:b/>
          <w:smallCaps/>
          <w:sz w:val="56"/>
          <w:szCs w:val="20"/>
        </w:rPr>
      </w:pPr>
    </w:p>
    <w:p w:rsidR="00D176BF" w:rsidRPr="007037CB" w:rsidRDefault="00D176BF" w:rsidP="00D176BF">
      <w:pPr>
        <w:ind w:right="-990"/>
        <w:rPr>
          <w:rFonts w:ascii="Garamond" w:hAnsi="Garamond"/>
          <w:b/>
        </w:rPr>
      </w:pPr>
    </w:p>
    <w:p w:rsidR="00D176BF" w:rsidRPr="007037CB" w:rsidRDefault="00D176BF" w:rsidP="00D176BF">
      <w:pPr>
        <w:ind w:right="-990"/>
        <w:rPr>
          <w:rFonts w:ascii="Garamond" w:hAnsi="Garamond"/>
          <w:b/>
        </w:rPr>
      </w:pPr>
    </w:p>
    <w:p w:rsidR="00D176BF" w:rsidRPr="007037CB" w:rsidRDefault="00D176BF" w:rsidP="00D176BF">
      <w:pPr>
        <w:ind w:right="-990"/>
        <w:rPr>
          <w:rFonts w:ascii="Garamond" w:hAnsi="Garamond"/>
          <w:b/>
        </w:rPr>
      </w:pPr>
    </w:p>
    <w:p w:rsidR="00D176BF" w:rsidRPr="007037CB" w:rsidRDefault="00D176BF" w:rsidP="00D176BF">
      <w:pPr>
        <w:keepNext/>
        <w:ind w:right="-990"/>
        <w:jc w:val="center"/>
        <w:outlineLvl w:val="0"/>
        <w:rPr>
          <w:iCs/>
          <w:sz w:val="44"/>
          <w:szCs w:val="44"/>
        </w:rPr>
      </w:pPr>
      <w:r w:rsidRPr="007037CB">
        <w:rPr>
          <w:iCs/>
          <w:sz w:val="44"/>
          <w:szCs w:val="44"/>
        </w:rPr>
        <w:t>Theoretical Statistics and Mathematics Unit</w:t>
      </w:r>
    </w:p>
    <w:p w:rsidR="00D176BF" w:rsidRPr="007037CB" w:rsidRDefault="00D176BF" w:rsidP="00D176BF">
      <w:pPr>
        <w:keepNext/>
        <w:ind w:right="-990"/>
        <w:jc w:val="center"/>
        <w:outlineLvl w:val="0"/>
        <w:rPr>
          <w:iCs/>
          <w:sz w:val="44"/>
          <w:szCs w:val="44"/>
        </w:rPr>
      </w:pPr>
    </w:p>
    <w:p w:rsidR="00D176BF" w:rsidRPr="00B64661" w:rsidRDefault="00D176BF" w:rsidP="00D176BF">
      <w:pPr>
        <w:jc w:val="center"/>
        <w:rPr>
          <w:sz w:val="48"/>
          <w:szCs w:val="48"/>
        </w:rPr>
      </w:pPr>
      <w:r w:rsidRPr="00B64661">
        <w:rPr>
          <w:rFonts w:eastAsiaTheme="minorHAnsi"/>
          <w:sz w:val="48"/>
          <w:szCs w:val="48"/>
        </w:rPr>
        <w:t>Seminar</w:t>
      </w:r>
    </w:p>
    <w:p w:rsidR="00D176BF" w:rsidRPr="007037CB" w:rsidRDefault="00D176BF" w:rsidP="00D176BF"/>
    <w:p w:rsidR="00D176BF" w:rsidRPr="007037CB" w:rsidRDefault="00D176BF" w:rsidP="00D176BF">
      <w:pPr>
        <w:jc w:val="center"/>
        <w:rPr>
          <w:sz w:val="36"/>
          <w:szCs w:val="36"/>
        </w:rPr>
      </w:pPr>
      <w:r>
        <w:rPr>
          <w:sz w:val="36"/>
          <w:szCs w:val="36"/>
        </w:rPr>
        <w:t>Date: December 20</w:t>
      </w:r>
      <w:r w:rsidRPr="007037CB">
        <w:rPr>
          <w:sz w:val="36"/>
          <w:szCs w:val="36"/>
        </w:rPr>
        <w:t xml:space="preserve">, 2018     </w:t>
      </w:r>
      <w:r>
        <w:rPr>
          <w:sz w:val="36"/>
          <w:szCs w:val="36"/>
        </w:rPr>
        <w:t xml:space="preserve">                   Time: 04:15</w:t>
      </w:r>
      <w:r w:rsidRPr="007037CB">
        <w:rPr>
          <w:sz w:val="36"/>
          <w:szCs w:val="36"/>
        </w:rPr>
        <w:t xml:space="preserve"> P.M.</w:t>
      </w:r>
    </w:p>
    <w:p w:rsidR="00D176BF" w:rsidRPr="007037CB" w:rsidRDefault="00D176BF" w:rsidP="00D176BF">
      <w:pPr>
        <w:rPr>
          <w:sz w:val="28"/>
          <w:szCs w:val="28"/>
        </w:rPr>
      </w:pPr>
    </w:p>
    <w:p w:rsidR="00D176BF" w:rsidRDefault="00D176BF" w:rsidP="00D176BF">
      <w:pPr>
        <w:jc w:val="center"/>
        <w:rPr>
          <w:sz w:val="28"/>
          <w:szCs w:val="28"/>
        </w:rPr>
      </w:pPr>
      <w:r w:rsidRPr="006A17AB">
        <w:rPr>
          <w:sz w:val="28"/>
          <w:szCs w:val="28"/>
        </w:rPr>
        <w:t xml:space="preserve">Venue: L-infinity, Stat-Math Unit (5th Floor, A.N. Kolmogorov </w:t>
      </w:r>
      <w:proofErr w:type="spellStart"/>
      <w:r w:rsidRPr="006A17AB">
        <w:rPr>
          <w:sz w:val="28"/>
          <w:szCs w:val="28"/>
        </w:rPr>
        <w:t>Bhavan</w:t>
      </w:r>
      <w:proofErr w:type="spellEnd"/>
      <w:r w:rsidRPr="006A17AB">
        <w:rPr>
          <w:sz w:val="28"/>
          <w:szCs w:val="28"/>
        </w:rPr>
        <w:t>)</w:t>
      </w:r>
    </w:p>
    <w:p w:rsidR="00D176BF" w:rsidRDefault="00D176BF" w:rsidP="00D176BF">
      <w:pPr>
        <w:jc w:val="center"/>
        <w:rPr>
          <w:sz w:val="28"/>
          <w:szCs w:val="28"/>
        </w:rPr>
      </w:pPr>
    </w:p>
    <w:p w:rsidR="00D176BF" w:rsidRDefault="00D176BF" w:rsidP="00D176BF">
      <w:pPr>
        <w:jc w:val="center"/>
        <w:rPr>
          <w:sz w:val="28"/>
          <w:szCs w:val="28"/>
        </w:rPr>
      </w:pPr>
    </w:p>
    <w:p w:rsidR="00D176BF" w:rsidRPr="002D1B7E" w:rsidRDefault="00D176BF" w:rsidP="00D176BF">
      <w:pPr>
        <w:jc w:val="center"/>
        <w:rPr>
          <w:sz w:val="48"/>
          <w:szCs w:val="48"/>
        </w:rPr>
      </w:pPr>
      <w:proofErr w:type="spellStart"/>
      <w:r w:rsidRPr="002D1B7E">
        <w:rPr>
          <w:sz w:val="48"/>
          <w:szCs w:val="48"/>
        </w:rPr>
        <w:t>Moulinath</w:t>
      </w:r>
      <w:proofErr w:type="spellEnd"/>
      <w:r w:rsidRPr="002D1B7E">
        <w:rPr>
          <w:sz w:val="48"/>
          <w:szCs w:val="48"/>
        </w:rPr>
        <w:t xml:space="preserve"> Banerjee</w:t>
      </w:r>
    </w:p>
    <w:p w:rsidR="00D176BF" w:rsidRDefault="00D176BF" w:rsidP="00D176BF">
      <w:pPr>
        <w:jc w:val="center"/>
        <w:rPr>
          <w:sz w:val="48"/>
          <w:szCs w:val="48"/>
        </w:rPr>
      </w:pPr>
      <w:r w:rsidRPr="002D1B7E">
        <w:rPr>
          <w:sz w:val="48"/>
          <w:szCs w:val="48"/>
        </w:rPr>
        <w:t>University of Michigan</w:t>
      </w:r>
    </w:p>
    <w:p w:rsidR="00D176BF" w:rsidRPr="002D1B7E" w:rsidRDefault="00D176BF" w:rsidP="00D176BF">
      <w:pPr>
        <w:jc w:val="center"/>
        <w:rPr>
          <w:color w:val="333333"/>
          <w:sz w:val="48"/>
          <w:szCs w:val="48"/>
          <w:shd w:val="clear" w:color="auto" w:fill="FFFFFF"/>
        </w:rPr>
      </w:pPr>
    </w:p>
    <w:p w:rsidR="00D176BF" w:rsidRPr="00B84D60" w:rsidRDefault="00D176BF" w:rsidP="00D176BF">
      <w:pPr>
        <w:jc w:val="center"/>
        <w:rPr>
          <w:sz w:val="28"/>
          <w:szCs w:val="28"/>
        </w:rPr>
      </w:pPr>
      <w:r w:rsidRPr="00B84D60">
        <w:rPr>
          <w:sz w:val="28"/>
          <w:szCs w:val="28"/>
        </w:rPr>
        <w:t xml:space="preserve">Non-Standard </w:t>
      </w:r>
      <w:proofErr w:type="spellStart"/>
      <w:r w:rsidRPr="00B84D60">
        <w:rPr>
          <w:sz w:val="28"/>
          <w:szCs w:val="28"/>
        </w:rPr>
        <w:t>Asymptotics</w:t>
      </w:r>
      <w:proofErr w:type="spellEnd"/>
      <w:r w:rsidRPr="00B84D60">
        <w:rPr>
          <w:sz w:val="28"/>
          <w:szCs w:val="28"/>
        </w:rPr>
        <w:t xml:space="preserve"> in High Dimensions: </w:t>
      </w:r>
      <w:proofErr w:type="spellStart"/>
      <w:r w:rsidRPr="00B84D60">
        <w:rPr>
          <w:sz w:val="28"/>
          <w:szCs w:val="28"/>
        </w:rPr>
        <w:t>Manski's</w:t>
      </w:r>
      <w:proofErr w:type="spellEnd"/>
      <w:r w:rsidRPr="00B84D60">
        <w:rPr>
          <w:sz w:val="28"/>
          <w:szCs w:val="28"/>
        </w:rPr>
        <w:t xml:space="preserve"> Maximum</w:t>
      </w:r>
    </w:p>
    <w:p w:rsidR="00D176BF" w:rsidRPr="00B84D60" w:rsidRDefault="00D176BF" w:rsidP="00D176BF">
      <w:pPr>
        <w:jc w:val="center"/>
        <w:rPr>
          <w:sz w:val="28"/>
          <w:szCs w:val="28"/>
        </w:rPr>
      </w:pPr>
      <w:r w:rsidRPr="00B84D60">
        <w:rPr>
          <w:sz w:val="28"/>
          <w:szCs w:val="28"/>
        </w:rPr>
        <w:t>Score Estimator Revisited</w:t>
      </w:r>
    </w:p>
    <w:p w:rsidR="00D176BF" w:rsidRPr="002D1B7E" w:rsidRDefault="00D176BF" w:rsidP="00D176BF">
      <w:pPr>
        <w:rPr>
          <w:sz w:val="48"/>
          <w:szCs w:val="48"/>
        </w:rPr>
      </w:pPr>
    </w:p>
    <w:p w:rsidR="00D176BF" w:rsidRDefault="00D176BF" w:rsidP="00D176BF">
      <w:pPr>
        <w:jc w:val="center"/>
      </w:pPr>
      <w:r>
        <w:t>Abstract</w:t>
      </w:r>
    </w:p>
    <w:p w:rsidR="00D176BF" w:rsidRDefault="00D176BF" w:rsidP="00D176BF">
      <w:pPr>
        <w:jc w:val="both"/>
        <w:rPr>
          <w:color w:val="333333"/>
          <w:sz w:val="22"/>
          <w:szCs w:val="22"/>
          <w:shd w:val="clear" w:color="auto" w:fill="FFFFFF"/>
        </w:rPr>
      </w:pPr>
    </w:p>
    <w:p w:rsidR="00D176BF" w:rsidRPr="005772BC" w:rsidRDefault="00D176BF" w:rsidP="00D176BF">
      <w:pPr>
        <w:jc w:val="center"/>
        <w:rPr>
          <w:b/>
          <w:sz w:val="28"/>
          <w:szCs w:val="28"/>
        </w:rPr>
      </w:pPr>
      <w:r w:rsidRPr="005772BC">
        <w:rPr>
          <w:b/>
          <w:sz w:val="28"/>
          <w:szCs w:val="28"/>
        </w:rPr>
        <w:t>Abstract is attached</w:t>
      </w:r>
    </w:p>
    <w:p w:rsidR="00D176BF" w:rsidRPr="005772BC" w:rsidRDefault="00D176BF" w:rsidP="00D176BF">
      <w:pPr>
        <w:jc w:val="center"/>
        <w:rPr>
          <w:b/>
          <w:sz w:val="28"/>
          <w:szCs w:val="28"/>
        </w:rPr>
      </w:pPr>
    </w:p>
    <w:p w:rsidR="00D176BF" w:rsidRDefault="00D176BF" w:rsidP="00D176BF"/>
    <w:p w:rsidR="00D176BF" w:rsidRPr="007037CB" w:rsidRDefault="00D176BF" w:rsidP="00D176BF">
      <w:pPr>
        <w:jc w:val="center"/>
      </w:pPr>
      <w:r w:rsidRPr="007037CB">
        <w:t>ALL ARE CORDIALLY INVITED</w:t>
      </w:r>
    </w:p>
    <w:p w:rsidR="00D176BF" w:rsidRDefault="00D176BF" w:rsidP="00D176BF">
      <w:pPr>
        <w:jc w:val="center"/>
      </w:pPr>
    </w:p>
    <w:p w:rsidR="00D176BF" w:rsidRDefault="00D176BF" w:rsidP="00D176BF"/>
    <w:p w:rsidR="00D176BF" w:rsidRDefault="00D176BF" w:rsidP="00D176BF"/>
    <w:p w:rsidR="00D176BF" w:rsidRDefault="00D176BF" w:rsidP="00D176BF"/>
    <w:p w:rsidR="00D176BF" w:rsidRDefault="00D176BF" w:rsidP="00D176BF"/>
    <w:p w:rsidR="00985B1E" w:rsidRDefault="00985B1E"/>
    <w:p w:rsidR="00113899" w:rsidRDefault="00113899"/>
    <w:p w:rsidR="00113899" w:rsidRDefault="00113899"/>
    <w:p w:rsidR="00113899" w:rsidRPr="00A202DF" w:rsidRDefault="00113899" w:rsidP="00113899">
      <w:pPr>
        <w:jc w:val="center"/>
        <w:rPr>
          <w:sz w:val="36"/>
          <w:szCs w:val="36"/>
        </w:rPr>
      </w:pPr>
      <w:r w:rsidRPr="00A202DF">
        <w:rPr>
          <w:sz w:val="36"/>
          <w:szCs w:val="36"/>
        </w:rPr>
        <w:lastRenderedPageBreak/>
        <w:t xml:space="preserve">Non-Standard </w:t>
      </w:r>
      <w:proofErr w:type="spellStart"/>
      <w:r w:rsidRPr="00A202DF">
        <w:rPr>
          <w:sz w:val="36"/>
          <w:szCs w:val="36"/>
        </w:rPr>
        <w:t>Asymptotics</w:t>
      </w:r>
      <w:proofErr w:type="spellEnd"/>
      <w:r w:rsidRPr="00A202DF">
        <w:rPr>
          <w:sz w:val="36"/>
          <w:szCs w:val="36"/>
        </w:rPr>
        <w:t xml:space="preserve"> in High Dimensions:</w:t>
      </w:r>
    </w:p>
    <w:p w:rsidR="00113899" w:rsidRPr="00A202DF" w:rsidRDefault="00113899" w:rsidP="00113899">
      <w:pPr>
        <w:jc w:val="center"/>
        <w:rPr>
          <w:sz w:val="36"/>
          <w:szCs w:val="36"/>
        </w:rPr>
      </w:pPr>
      <w:proofErr w:type="spellStart"/>
      <w:r w:rsidRPr="00A202DF">
        <w:rPr>
          <w:sz w:val="36"/>
          <w:szCs w:val="36"/>
        </w:rPr>
        <w:t>Manski’s</w:t>
      </w:r>
      <w:proofErr w:type="spellEnd"/>
      <w:r w:rsidRPr="00A202DF">
        <w:rPr>
          <w:sz w:val="36"/>
          <w:szCs w:val="36"/>
        </w:rPr>
        <w:t xml:space="preserve"> Maximum Score Estimator Revisited</w:t>
      </w:r>
    </w:p>
    <w:p w:rsidR="00113899" w:rsidRDefault="00113899" w:rsidP="00113899">
      <w:pPr>
        <w:jc w:val="center"/>
      </w:pPr>
    </w:p>
    <w:p w:rsidR="00113899" w:rsidRDefault="00113899" w:rsidP="00113899">
      <w:pPr>
        <w:jc w:val="center"/>
      </w:pPr>
      <w:proofErr w:type="spellStart"/>
      <w:r>
        <w:t>Moulinath</w:t>
      </w:r>
      <w:proofErr w:type="spellEnd"/>
      <w:r>
        <w:t xml:space="preserve"> Banerjee</w:t>
      </w:r>
    </w:p>
    <w:p w:rsidR="00113899" w:rsidRDefault="00113899" w:rsidP="00113899">
      <w:pPr>
        <w:jc w:val="center"/>
      </w:pPr>
      <w:r>
        <w:t>University of Michigan</w:t>
      </w:r>
    </w:p>
    <w:p w:rsidR="00113899" w:rsidRDefault="00113899" w:rsidP="00113899">
      <w:pPr>
        <w:jc w:val="center"/>
      </w:pPr>
      <w:r>
        <w:t xml:space="preserve">L ∞, 5th Floor, Kolmogorov </w:t>
      </w:r>
      <w:proofErr w:type="spellStart"/>
      <w:r>
        <w:t>Bhavan</w:t>
      </w:r>
      <w:proofErr w:type="spellEnd"/>
    </w:p>
    <w:p w:rsidR="00113899" w:rsidRDefault="00113899" w:rsidP="00113899">
      <w:pPr>
        <w:jc w:val="center"/>
      </w:pPr>
      <w:r>
        <w:t>20th December 2018, 4:15 pm Abstract</w:t>
      </w:r>
    </w:p>
    <w:p w:rsidR="00113899" w:rsidRDefault="00113899" w:rsidP="00113899"/>
    <w:p w:rsidR="00113899" w:rsidRPr="00A202DF" w:rsidRDefault="00113899" w:rsidP="00113899">
      <w:pPr>
        <w:rPr>
          <w:b/>
        </w:rPr>
      </w:pPr>
    </w:p>
    <w:p w:rsidR="00113899" w:rsidRDefault="00113899" w:rsidP="00113899"/>
    <w:p w:rsidR="00113899" w:rsidRPr="00A202DF" w:rsidRDefault="00113899" w:rsidP="00113899">
      <w:pPr>
        <w:jc w:val="center"/>
      </w:pPr>
      <w:r w:rsidRPr="00A202DF">
        <w:t>Abstract</w:t>
      </w:r>
    </w:p>
    <w:p w:rsidR="00113899" w:rsidRDefault="00113899" w:rsidP="00113899"/>
    <w:p w:rsidR="00113899" w:rsidRDefault="00113899" w:rsidP="00113899">
      <w:pPr>
        <w:jc w:val="both"/>
      </w:pPr>
      <w:proofErr w:type="spellStart"/>
      <w:r>
        <w:t>Manski’s</w:t>
      </w:r>
      <w:proofErr w:type="spellEnd"/>
      <w:r>
        <w:t xml:space="preserve"> celebrated maximum score estimator for the binary response model has been the focus of much investigation in both the econometrics and statistics literatures but its behavior under growing dimension scenarios still largely remains unknown. This paper seeks to address that gap. Two different cases: p grows with n but at a slow rate, i.e. p n → 0; and p &gt; n (fast growth) are considered. By relating </w:t>
      </w:r>
      <w:proofErr w:type="spellStart"/>
      <w:r>
        <w:t>Manski’s</w:t>
      </w:r>
      <w:proofErr w:type="spellEnd"/>
      <w:r>
        <w:t xml:space="preserve"> score estimation to empirical risk minimization in a classification problem, we show that under a soft margin </w:t>
      </w:r>
      <w:proofErr w:type="gramStart"/>
      <w:r>
        <w:t>condition(</w:t>
      </w:r>
      <w:proofErr w:type="gramEnd"/>
      <w:r>
        <w:t xml:space="preserve">due to </w:t>
      </w:r>
      <w:proofErr w:type="spellStart"/>
      <w:r>
        <w:t>Tsybakov</w:t>
      </w:r>
      <w:proofErr w:type="spellEnd"/>
      <w:r>
        <w:t xml:space="preserve">) involving a smoothness parameter α &gt; 0, the rate of the score estimator in the slow regime is essentially ( p n log n) α α+2 , while, in the fast regime, the l0 penalized score estimator essentially attains the rate (s0 log p log n/n) α α+2 . For the most interesting regime, α = 1, the rates of </w:t>
      </w:r>
      <w:proofErr w:type="spellStart"/>
      <w:r>
        <w:t>Manski’s</w:t>
      </w:r>
      <w:proofErr w:type="spellEnd"/>
      <w:r>
        <w:t xml:space="preserve"> estimator are therefore </w:t>
      </w:r>
      <w:proofErr w:type="gramStart"/>
      <w:r>
        <w:t>( p</w:t>
      </w:r>
      <w:proofErr w:type="gramEnd"/>
      <w:r>
        <w:t xml:space="preserve"> n log n) 1 3 and (s0 log p log n/n) 1 3 in the slow and fast growth scenarios respectively, which can be viewed as high-dimensional analogues of cube-root </w:t>
      </w:r>
      <w:proofErr w:type="spellStart"/>
      <w:r>
        <w:t>asymptotics</w:t>
      </w:r>
      <w:proofErr w:type="spellEnd"/>
      <w:r>
        <w:t xml:space="preserve">, in the terminology of Kim and Pollard. We also establish upper and lower bounds for the minimax L2 error in </w:t>
      </w:r>
      <w:proofErr w:type="spellStart"/>
      <w:r>
        <w:t>Manski’s</w:t>
      </w:r>
      <w:proofErr w:type="spellEnd"/>
      <w:r>
        <w:t xml:space="preserve"> model that differ by a logarithmic factor, and propose a non-adaptive estimator that attains the minimax rate ((p/n) 1 3 ) in the slow regime. Finally, we provide computational recipes for the maximum score estimator in growing dimensions that show promising results.</w:t>
      </w:r>
    </w:p>
    <w:p w:rsidR="00113899" w:rsidRDefault="00113899" w:rsidP="00113899">
      <w:pPr>
        <w:jc w:val="both"/>
      </w:pPr>
      <w:r>
        <w:t xml:space="preserve"> Joint work with </w:t>
      </w:r>
      <w:proofErr w:type="spellStart"/>
      <w:r>
        <w:t>Debarghya</w:t>
      </w:r>
      <w:proofErr w:type="spellEnd"/>
      <w:r>
        <w:t xml:space="preserve"> Mukherjee and </w:t>
      </w:r>
      <w:proofErr w:type="spellStart"/>
      <w:r>
        <w:t>Ya’acov</w:t>
      </w:r>
      <w:proofErr w:type="spellEnd"/>
      <w:r>
        <w:t xml:space="preserve"> </w:t>
      </w:r>
      <w:proofErr w:type="spellStart"/>
      <w:r>
        <w:t>Ritov</w:t>
      </w:r>
      <w:proofErr w:type="spellEnd"/>
      <w:r>
        <w:t>.</w:t>
      </w:r>
    </w:p>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rsidP="00113899"/>
    <w:p w:rsidR="00113899" w:rsidRDefault="00113899">
      <w:bookmarkStart w:id="0" w:name="_GoBack"/>
      <w:bookmarkEnd w:id="0"/>
    </w:p>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p w:rsidR="00113899" w:rsidRDefault="00113899"/>
    <w:sectPr w:rsidR="0011389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6BF"/>
    <w:rsid w:val="00113899"/>
    <w:rsid w:val="00985B1E"/>
    <w:rsid w:val="00D1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7B816-FF8B-489C-93D0-D0B2BD18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6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324</Words>
  <Characters>1849</Characters>
  <Application>Microsoft Office Word</Application>
  <DocSecurity>0</DocSecurity>
  <Lines>15</Lines>
  <Paragraphs>4</Paragraphs>
  <ScaleCrop>false</ScaleCrop>
  <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2018-12-17T10:37:00Z</dcterms:created>
  <dcterms:modified xsi:type="dcterms:W3CDTF">2018-12-17T10:59:00Z</dcterms:modified>
</cp:coreProperties>
</file>